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cs="仿宋" w:asciiTheme="minorEastAsia" w:hAnsiTheme="minorEastAsia" w:eastAsiaTheme="minorEastAsia"/>
          <w:b/>
          <w:i/>
          <w:color w:val="000000" w:themeColor="text1"/>
          <w:sz w:val="21"/>
          <w:szCs w:val="21"/>
        </w:rPr>
      </w:pPr>
      <w:r>
        <w:rPr>
          <w:rFonts w:hint="eastAsia" w:cs="仿宋" w:asciiTheme="minorEastAsia" w:hAnsiTheme="minorEastAsia" w:eastAsiaTheme="minorEastAsia"/>
          <w:b/>
          <w:color w:val="000000" w:themeColor="text1"/>
          <w:sz w:val="72"/>
        </w:rPr>
        <w:tab/>
      </w:r>
      <w:r/>
    </w:p>
    <w:p>
      <w:pPr>
        <w:jc w:val="center"/>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jc w:val="center"/>
        <w:spacing w:line="360" w:lineRule="auto"/>
        <w:rPr>
          <w:rFonts w:hint="eastAsia" w:cs="仿宋" w:asciiTheme="minorEastAsia" w:hAnsiTheme="minorEastAsia" w:eastAsiaTheme="minorEastAsia"/>
          <w:bCs/>
          <w:color w:val="000000" w:themeColor="text1"/>
          <w:spacing w:val="20"/>
          <w:sz w:val="72"/>
          <w:szCs w:val="72"/>
        </w:rPr>
      </w:pPr>
      <w:r>
        <w:rPr>
          <w:rFonts w:hint="eastAsia" w:cs="仿宋" w:asciiTheme="minorEastAsia" w:hAnsiTheme="minorEastAsia" w:eastAsiaTheme="minorEastAsia"/>
          <w:bCs/>
          <w:color w:val="000000" w:themeColor="text1"/>
          <w:spacing w:val="20"/>
          <w:sz w:val="72"/>
          <w:szCs w:val="72"/>
        </w:rPr>
        <w:t xml:space="preserve">泰州市政府采购</w:t>
      </w:r>
      <w:r/>
    </w:p>
    <w:p>
      <w:pPr>
        <w:jc w:val="center"/>
        <w:spacing w:line="360" w:lineRule="auto"/>
        <w:rPr>
          <w:rFonts w:hint="eastAsia" w:cs="仿宋" w:asciiTheme="minorEastAsia" w:hAnsiTheme="minorEastAsia" w:eastAsiaTheme="minorEastAsia"/>
          <w:bCs/>
          <w:color w:val="000000" w:themeColor="text1"/>
          <w:spacing w:val="20"/>
          <w:sz w:val="52"/>
          <w:szCs w:val="52"/>
        </w:rPr>
      </w:pPr>
      <w:r>
        <w:rPr>
          <w:rFonts w:hint="eastAsia" w:cs="仿宋" w:asciiTheme="minorEastAsia" w:hAnsiTheme="minorEastAsia" w:eastAsiaTheme="minorEastAsia"/>
          <w:bCs/>
          <w:color w:val="000000" w:themeColor="text1"/>
          <w:spacing w:val="20"/>
          <w:sz w:val="52"/>
          <w:szCs w:val="52"/>
        </w:rPr>
        <w:t xml:space="preserve">公开</w:t>
      </w:r>
      <w:r>
        <w:rPr>
          <w:rFonts w:hint="eastAsia" w:asciiTheme="minorEastAsia" w:hAnsiTheme="minorEastAsia" w:eastAsiaTheme="minor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197485</wp:posOffset>
                </wp:positionV>
                <wp:extent cx="635" cy="0"/>
                <wp:effectExtent l="0" t="4445" r="0" b="5080"/>
                <wp:wrapNone/>
                <wp:docPr id="2"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8.9pt,15.5pt" to="-8.9pt,15.5pt" filled="f" strokecolor="#000000"/>
            </w:pict>
          </mc:Fallback>
        </mc:AlternateContent>
      </w:r>
      <w:r>
        <w:rPr>
          <w:rFonts w:hint="eastAsia" w:cs="仿宋" w:asciiTheme="minorEastAsia" w:hAnsiTheme="minorEastAsia" w:eastAsiaTheme="minorEastAsia"/>
          <w:bCs/>
          <w:color w:val="000000" w:themeColor="text1"/>
          <w:spacing w:val="20"/>
          <w:sz w:val="52"/>
          <w:szCs w:val="52"/>
        </w:rPr>
        <w:t xml:space="preserve">招标文件</w:t>
      </w:r>
      <w:r/>
    </w:p>
    <w:p>
      <w:pPr>
        <w:jc w:val="center"/>
        <w:rPr>
          <w:rFonts w:hint="eastAsia" w:cs="仿宋" w:asciiTheme="minorEastAsia" w:hAnsiTheme="minorEastAsia" w:eastAsiaTheme="minorEastAsia"/>
          <w:b/>
          <w:color w:val="000000" w:themeColor="text1"/>
          <w:sz w:val="72"/>
          <w:szCs w:val="72"/>
        </w:rPr>
      </w:pPr>
      <w:r>
        <w:rPr>
          <w:rFonts w:hint="eastAsia" w:cs="仿宋" w:asciiTheme="minorEastAsia" w:hAnsiTheme="minorEastAsia" w:eastAsiaTheme="minorEastAsia"/>
          <w:bCs/>
          <w:color w:val="000000" w:themeColor="text1"/>
          <w:sz w:val="30"/>
        </w:rPr>
        <w:t xml:space="preserve">（全流程电子化不见面开标）</w:t>
      </w:r>
      <w:r/>
    </w:p>
    <w:p>
      <w:pPr>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pStyle w:val="964"/>
        <w:ind w:firstLine="568"/>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pStyle w:val="964"/>
        <w:ind w:firstLine="568"/>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项目编号：</w:t>
      </w:r>
      <w:r>
        <w:rPr>
          <w:rFonts w:cs="仿宋" w:asciiTheme="minorEastAsia" w:hAnsiTheme="minorEastAsia" w:eastAsiaTheme="minorEastAsia"/>
          <w:b/>
          <w:bCs/>
          <w:color w:val="000000" w:themeColor="text1"/>
          <w:sz w:val="28"/>
          <w:szCs w:val="28"/>
        </w:rPr>
        <w:t xml:space="preserve">JSZC-321204-HWZX-G2025-0864</w:t>
      </w:r>
      <w:r>
        <w:rPr>
          <w:rFonts w:cs="仿宋" w:asciiTheme="minorEastAsia" w:hAnsiTheme="minorEastAsia" w:eastAsiaTheme="minorEastAsia"/>
          <w:b/>
          <w:bCs/>
          <w:color w:val="000000" w:themeColor="text1"/>
          <w:sz w:val="28"/>
          <w:szCs w:val="28"/>
        </w:rPr>
        <w:t xml:space="preserve">（JYZC-2025</w:t>
      </w:r>
      <w:r>
        <w:rPr>
          <w:rFonts w:hint="eastAsia" w:cs="仿宋" w:asciiTheme="minorEastAsia" w:hAnsiTheme="minorEastAsia" w:eastAsiaTheme="minorEastAsia"/>
          <w:b/>
          <w:bCs/>
          <w:color w:val="000000" w:themeColor="text1"/>
          <w:sz w:val="28"/>
          <w:szCs w:val="28"/>
        </w:rPr>
        <w:t xml:space="preserve">167</w:t>
      </w:r>
      <w:r>
        <w:rPr>
          <w:rFonts w:cs="仿宋" w:asciiTheme="minorEastAsia" w:hAnsiTheme="minorEastAsia" w:eastAsiaTheme="minorEastAsia"/>
          <w:b/>
          <w:bCs/>
          <w:color w:val="000000" w:themeColor="text1"/>
          <w:sz w:val="28"/>
          <w:szCs w:val="28"/>
        </w:rPr>
        <w:t xml:space="preserve">）</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Cs w:val="28"/>
        </w:rPr>
        <w:t xml:space="preserve">采购代理编号：</w:t>
      </w:r>
      <w:r>
        <w:rPr>
          <w:rFonts w:hint="eastAsia" w:cs="仿宋" w:asciiTheme="minorEastAsia" w:hAnsiTheme="minorEastAsia" w:eastAsiaTheme="minorEastAsia"/>
          <w:b/>
          <w:bCs/>
          <w:color w:val="000000" w:themeColor="text1"/>
          <w:szCs w:val="28"/>
        </w:rPr>
        <w:t xml:space="preserve">0675-256JOC016264</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项目名称：</w:t>
      </w:r>
      <w:r>
        <w:rPr>
          <w:rFonts w:hint="eastAsia" w:cs="仿宋" w:asciiTheme="minorEastAsia" w:hAnsiTheme="minorEastAsia" w:eastAsiaTheme="minorEastAsia"/>
          <w:b/>
          <w:bCs/>
          <w:color w:val="000000" w:themeColor="text1"/>
          <w:sz w:val="28"/>
          <w:szCs w:val="28"/>
        </w:rPr>
        <w:t xml:space="preserve">便携式B超、糖筛工作站相关设备</w:t>
      </w:r>
      <w:r/>
    </w:p>
    <w:p>
      <w:pPr>
        <w:ind w:firstLine="419"/>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   购   人：</w:t>
      </w:r>
      <w:r>
        <w:rPr>
          <w:rFonts w:hint="eastAsia" w:cs="仿宋" w:asciiTheme="minorEastAsia" w:hAnsiTheme="minorEastAsia" w:eastAsiaTheme="minorEastAsia"/>
          <w:b/>
          <w:bCs/>
          <w:color w:val="000000" w:themeColor="text1"/>
          <w:sz w:val="28"/>
          <w:szCs w:val="28"/>
        </w:rPr>
        <w:t xml:space="preserve">泰州市姜堰区</w:t>
      </w:r>
      <w:r>
        <w:rPr>
          <w:rFonts w:hint="eastAsia" w:cs="仿宋" w:asciiTheme="minorEastAsia" w:hAnsiTheme="minorEastAsia" w:eastAsiaTheme="minorEastAsia"/>
          <w:b/>
          <w:bCs/>
          <w:color w:val="000000" w:themeColor="text1"/>
          <w:sz w:val="28"/>
          <w:szCs w:val="28"/>
        </w:rPr>
        <w:t xml:space="preserve">大伦镇卫生院</w:t>
      </w:r>
      <w:r/>
    </w:p>
    <w:p>
      <w:pPr>
        <w:pStyle w:val="806"/>
        <w:ind w:firstLine="0"/>
        <w:jc w:val="center"/>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采购代理机构：江苏海外集团国际工程咨询有限公司</w:t>
      </w:r>
      <w:r/>
    </w:p>
    <w:p>
      <w:pPr>
        <w:jc w:val="center"/>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r>
      <w:r/>
    </w:p>
    <w:p>
      <w:pPr>
        <w:jc w:val="center"/>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202</w:t>
      </w:r>
      <w:r>
        <w:rPr>
          <w:rFonts w:cs="仿宋" w:asciiTheme="minorEastAsia" w:hAnsiTheme="minorEastAsia" w:eastAsiaTheme="minorEastAsia"/>
          <w:b/>
          <w:color w:val="000000" w:themeColor="text1"/>
          <w:sz w:val="28"/>
          <w:szCs w:val="28"/>
        </w:rPr>
        <w:t xml:space="preserve">5</w:t>
      </w:r>
      <w:r>
        <w:rPr>
          <w:rFonts w:hint="eastAsia" w:cs="仿宋" w:asciiTheme="minorEastAsia" w:hAnsiTheme="minorEastAsia" w:eastAsiaTheme="minorEastAsia"/>
          <w:b/>
          <w:color w:val="000000" w:themeColor="text1"/>
          <w:sz w:val="28"/>
          <w:szCs w:val="28"/>
        </w:rPr>
        <w:t xml:space="preserve">年</w:t>
      </w:r>
      <w:r>
        <w:rPr>
          <w:rFonts w:hint="eastAsia" w:cs="仿宋" w:asciiTheme="minorEastAsia" w:hAnsiTheme="minorEastAsia" w:eastAsiaTheme="minorEastAsia"/>
          <w:b/>
          <w:color w:val="000000" w:themeColor="text1"/>
          <w:sz w:val="28"/>
          <w:szCs w:val="28"/>
        </w:rPr>
        <w:t xml:space="preserve">1</w:t>
      </w:r>
      <w:r>
        <w:rPr>
          <w:rFonts w:hint="eastAsia" w:cs="仿宋" w:asciiTheme="minorEastAsia" w:hAnsiTheme="minorEastAsia" w:eastAsiaTheme="minorEastAsia"/>
          <w:b/>
          <w:color w:val="000000" w:themeColor="text1"/>
          <w:sz w:val="28"/>
          <w:szCs w:val="28"/>
        </w:rPr>
        <w:t xml:space="preserve">1</w:t>
      </w:r>
      <w:r>
        <w:rPr>
          <w:rFonts w:hint="eastAsia" w:cs="仿宋" w:asciiTheme="minorEastAsia" w:hAnsiTheme="minorEastAsia" w:eastAsiaTheme="minorEastAsia"/>
          <w:b/>
          <w:color w:val="000000" w:themeColor="text1"/>
          <w:sz w:val="28"/>
          <w:szCs w:val="28"/>
        </w:rPr>
        <w:t xml:space="preserve">月</w:t>
      </w:r>
      <w:r/>
    </w:p>
    <w:p>
      <w:pPr>
        <w:jc w:val="center"/>
        <w:spacing w:line="360" w:lineRule="auto"/>
        <w:widowControl/>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br w:type="page" w:clear="all"/>
      </w:r>
      <w:r/>
    </w:p>
    <w:p>
      <w:pPr>
        <w:jc w:val="center"/>
        <w:spacing w:line="360" w:lineRule="auto"/>
        <w:widowControl/>
        <w:rPr>
          <w:rFonts w:hint="eastAsia" w:cs="仿宋" w:asciiTheme="minorEastAsia" w:hAnsiTheme="minorEastAsia" w:eastAsiaTheme="minorEastAsia"/>
          <w:b/>
          <w:color w:val="000000" w:themeColor="text1"/>
          <w:sz w:val="36"/>
          <w:szCs w:val="36"/>
        </w:rPr>
      </w:pPr>
      <w:r>
        <w:rPr>
          <w:rFonts w:hint="eastAsia" w:cs="仿宋" w:asciiTheme="minorEastAsia" w:hAnsiTheme="minorEastAsia" w:eastAsiaTheme="minorEastAsia"/>
          <w:b/>
          <w:color w:val="000000" w:themeColor="text1"/>
          <w:sz w:val="36"/>
          <w:szCs w:val="36"/>
        </w:rPr>
        <w:t xml:space="preserve">目  录</w:t>
      </w:r>
      <w:r/>
    </w:p>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pStyle w:val="965"/>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begin"/>
      </w:r>
      <w:r>
        <w:rPr>
          <w:rFonts w:hint="eastAsia" w:cs="仿宋" w:asciiTheme="minorEastAsia" w:hAnsiTheme="minorEastAsia" w:eastAsiaTheme="minorEastAsia"/>
          <w:b/>
          <w:color w:val="000000" w:themeColor="text1"/>
          <w:sz w:val="28"/>
          <w:szCs w:val="21"/>
        </w:rPr>
        <w:instrText xml:space="preserve">TOC  \* MERGEFORMAT</w:instrText>
      </w:r>
      <w:r>
        <w:rPr>
          <w:rFonts w:hint="eastAsia" w:cs="仿宋" w:asciiTheme="minorEastAsia" w:hAnsiTheme="minorEastAsia" w:eastAsiaTheme="minorEastAsia"/>
          <w:b/>
          <w:color w:val="000000" w:themeColor="text1"/>
          <w:sz w:val="28"/>
          <w:szCs w:val="21"/>
        </w:rPr>
        <w:fldChar w:fldCharType="separate"/>
      </w:r>
      <w:r>
        <w:rPr>
          <w:rFonts w:hint="eastAsia" w:cs="仿宋" w:asciiTheme="minorEastAsia" w:hAnsiTheme="minorEastAsia" w:eastAsiaTheme="minorEastAsia"/>
          <w:b/>
          <w:color w:val="000000" w:themeColor="text1"/>
          <w:sz w:val="28"/>
          <w:szCs w:val="21"/>
        </w:rPr>
        <w:t xml:space="preserve">第一章 招标公告</w:t>
      </w:r>
      <w:r/>
    </w:p>
    <w:p>
      <w:pPr>
        <w:pStyle w:val="965"/>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第二章 投标人须知</w:t>
      </w:r>
      <w:r/>
    </w:p>
    <w:p>
      <w:pPr>
        <w:pStyle w:val="965"/>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第三章 采购需求</w:t>
      </w:r>
      <w:r/>
    </w:p>
    <w:p>
      <w:pPr>
        <w:pStyle w:val="965"/>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第四章 评标办法及标准</w:t>
      </w:r>
      <w:r/>
    </w:p>
    <w:p>
      <w:pPr>
        <w:pStyle w:val="965"/>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第五章 合同条款</w:t>
      </w:r>
      <w:r/>
    </w:p>
    <w:p>
      <w:pPr>
        <w:pStyle w:val="965"/>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end"/>
      </w:r>
      <w:r>
        <w:rPr>
          <w:rFonts w:hint="eastAsia" w:cs="仿宋" w:asciiTheme="minorEastAsia" w:hAnsiTheme="minorEastAsia" w:eastAsiaTheme="minorEastAsia"/>
          <w:b/>
          <w:color w:val="000000" w:themeColor="text1"/>
          <w:sz w:val="28"/>
          <w:szCs w:val="21"/>
        </w:rPr>
        <w:t xml:space="preserve">第六章 投标文件格式</w:t>
      </w:r>
      <w:r/>
    </w:p>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jc w:val="center"/>
        <w:spacing w:line="360" w:lineRule="auto"/>
        <w:widowControl/>
        <w:rPr>
          <w:rFonts w:hint="eastAsia" w:cs="仿宋" w:asciiTheme="minorEastAsia" w:hAnsiTheme="minorEastAsia" w:eastAsiaTheme="minorEastAsia"/>
          <w:b/>
          <w:color w:val="000000" w:themeColor="text1"/>
          <w:spacing w:val="15"/>
          <w:sz w:val="32"/>
          <w:szCs w:val="32"/>
        </w:rPr>
      </w:pPr>
      <w:r>
        <w:rPr>
          <w:rFonts w:hint="eastAsia" w:cs="仿宋" w:asciiTheme="minorEastAsia" w:hAnsiTheme="minorEastAsia" w:eastAsiaTheme="minorEastAsia"/>
          <w:color w:val="000000" w:themeColor="text1"/>
          <w:sz w:val="21"/>
          <w:szCs w:val="21"/>
        </w:rPr>
        <w:br w:type="page" w:clear="all"/>
      </w:r>
      <w:bookmarkStart w:id="0" w:name="_Toc388026584"/>
      <w:r/>
      <w:bookmarkStart w:id="1" w:name="_Toc409438817"/>
      <w:r>
        <w:rPr>
          <w:rFonts w:hint="eastAsia" w:cs="仿宋" w:asciiTheme="minorEastAsia" w:hAnsiTheme="minorEastAsia" w:eastAsiaTheme="minorEastAsia"/>
          <w:b/>
          <w:color w:val="000000" w:themeColor="text1"/>
          <w:spacing w:val="15"/>
          <w:sz w:val="32"/>
          <w:szCs w:val="32"/>
        </w:rPr>
        <w:t xml:space="preserve">第一</w:t>
      </w:r>
      <w:r>
        <w:rPr>
          <w:rFonts w:hint="eastAsia" w:cs="仿宋" w:asciiTheme="minorEastAsia" w:hAnsiTheme="minorEastAsia" w:eastAsiaTheme="minorEastAsia"/>
          <w:b/>
          <w:color w:val="000000" w:themeColor="text1"/>
          <w:spacing w:val="15"/>
          <w:sz w:val="32"/>
          <w:szCs w:val="32"/>
        </w:rPr>
        <w:t xml:space="preserve">章</w:t>
      </w:r>
      <w:r>
        <w:rPr>
          <w:rFonts w:hint="eastAsia" w:cs="宋体" w:asciiTheme="minorEastAsia" w:hAnsiTheme="minorEastAsia" w:eastAsiaTheme="minorEastAsia"/>
          <w:color w:val="000000" w:themeColor="text1"/>
          <w:sz w:val="32"/>
          <w:szCs w:val="32"/>
        </w:rPr>
        <w:t xml:space="preserve"> </w:t>
      </w:r>
      <w:bookmarkStart w:id="2" w:name="_Toc258329824"/>
      <w:r/>
      <w:bookmarkStart w:id="3" w:name="_Toc228679947"/>
      <w:r/>
      <w:bookmarkStart w:id="4" w:name="_Toc417477665"/>
      <w:r/>
      <w:bookmarkEnd w:id="2"/>
      <w:r/>
      <w:bookmarkEnd w:id="3"/>
      <w:r/>
      <w:bookmarkEnd w:id="4"/>
      <w:r>
        <w:rPr>
          <w:rFonts w:hint="eastAsia" w:cs="仿宋" w:asciiTheme="minorEastAsia" w:hAnsiTheme="minorEastAsia" w:eastAsiaTheme="minorEastAsia"/>
          <w:b/>
          <w:color w:val="000000" w:themeColor="text1"/>
          <w:spacing w:val="15"/>
          <w:sz w:val="32"/>
          <w:szCs w:val="32"/>
        </w:rPr>
        <w:t xml:space="preserve">招标公告</w:t>
      </w:r>
      <w:r/>
    </w:p>
    <w:p>
      <w:pPr>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rPr>
        <w:t xml:space="preserve">项目概况</w:t>
      </w:r>
      <w:r/>
    </w:p>
    <w:p>
      <w:pPr>
        <w:ind w:firstLine="488"/>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rPr>
        <w:t xml:space="preserve">便携式B超、糖筛工作站相关设备</w:t>
      </w:r>
      <w:r>
        <w:rPr>
          <w:rFonts w:hint="eastAsia" w:cs="仿宋" w:asciiTheme="minorEastAsia" w:hAnsiTheme="minorEastAsia" w:eastAsiaTheme="minorEastAsia"/>
          <w:color w:val="000000" w:themeColor="text1"/>
          <w:sz w:val="24"/>
          <w:szCs w:val="24"/>
        </w:rPr>
        <w:t xml:space="preserve">招标项目的潜在投标人可在“江苏政府采购网</w:t>
      </w:r>
      <w:r>
        <w:rPr>
          <w:rFonts w:hint="eastAsia" w:cs="仿宋" w:asciiTheme="minorEastAsia" w:hAnsiTheme="minorEastAsia" w:eastAsiaTheme="minorEastAsia"/>
          <w:color w:val="000000" w:themeColor="text1"/>
          <w:sz w:val="24"/>
          <w:szCs w:val="24"/>
          <w:u w:val="single"/>
        </w:rPr>
        <w:t xml:space="preserve">-苏</w:t>
      </w:r>
      <w:r>
        <w:rPr>
          <w:rFonts w:hint="eastAsia" w:cs="仿宋" w:asciiTheme="minorEastAsia" w:hAnsiTheme="minorEastAsia" w:eastAsiaTheme="minorEastAsia"/>
          <w:color w:val="000000" w:themeColor="text1"/>
          <w:sz w:val="24"/>
          <w:szCs w:val="24"/>
          <w:u w:val="single"/>
        </w:rPr>
        <w:t xml:space="preserve">采云</w:t>
      </w:r>
      <w:r>
        <w:rPr>
          <w:rFonts w:hint="eastAsia" w:cs="仿宋" w:asciiTheme="minorEastAsia" w:hAnsiTheme="minorEastAsia" w:eastAsiaTheme="minorEastAsia"/>
          <w:color w:val="000000" w:themeColor="text1"/>
          <w:sz w:val="24"/>
          <w:szCs w:val="24"/>
          <w:u w:val="single"/>
        </w:rPr>
        <w:t xml:space="preserve">”系统</w:t>
      </w:r>
      <w:r>
        <w:rPr>
          <w:rFonts w:hint="eastAsia" w:cs="仿宋" w:asciiTheme="minorEastAsia" w:hAnsiTheme="minorEastAsia" w:eastAsiaTheme="minorEastAsia"/>
          <w:color w:val="000000" w:themeColor="text1"/>
          <w:sz w:val="24"/>
          <w:szCs w:val="24"/>
        </w:rPr>
        <w:t xml:space="preserve">自行下载招标文件 </w:t>
      </w:r>
      <w:hyperlink r:id="rId13" w:tooltip="http://jszfcg.jsczt.cn/）获取招标文件，并于2023年11月" w:history="1">
        <w:r>
          <w:rPr>
            <w:rStyle w:val="810"/>
            <w:rFonts w:hint="eastAsia" w:cs="仿宋" w:asciiTheme="minorEastAsia" w:hAnsiTheme="minorEastAsia" w:eastAsiaTheme="minorEastAsia"/>
            <w:color w:val="000000" w:themeColor="text1"/>
            <w:sz w:val="24"/>
            <w:szCs w:val="24"/>
            <w:u w:val="none"/>
          </w:rPr>
          <w:t xml:space="preserve">，并于</w:t>
        </w:r>
        <w:r>
          <w:rPr>
            <w:rStyle w:val="810"/>
            <w:rFonts w:hint="eastAsia" w:cs="仿宋" w:asciiTheme="minorEastAsia" w:hAnsiTheme="minorEastAsia" w:eastAsiaTheme="minorEastAsia"/>
            <w:color w:val="000000" w:themeColor="text1"/>
            <w:sz w:val="24"/>
            <w:szCs w:val="24"/>
          </w:rPr>
          <w:t xml:space="preserve">202</w:t>
        </w:r>
        <w:r>
          <w:rPr>
            <w:rStyle w:val="810"/>
            <w:rFonts w:cs="仿宋" w:asciiTheme="minorEastAsia" w:hAnsiTheme="minorEastAsia" w:eastAsiaTheme="minorEastAsia"/>
            <w:color w:val="000000" w:themeColor="text1"/>
            <w:sz w:val="24"/>
            <w:szCs w:val="24"/>
          </w:rPr>
          <w:t xml:space="preserve">5</w:t>
        </w:r>
        <w:r>
          <w:rPr>
            <w:rStyle w:val="810"/>
            <w:rFonts w:hint="eastAsia" w:cs="仿宋" w:asciiTheme="minorEastAsia" w:hAnsiTheme="minorEastAsia" w:eastAsiaTheme="minorEastAsia"/>
            <w:color w:val="000000" w:themeColor="text1"/>
            <w:sz w:val="24"/>
            <w:szCs w:val="24"/>
          </w:rPr>
          <w:t xml:space="preserve">年</w:t>
        </w:r>
        <w:r>
          <w:rPr>
            <w:rStyle w:val="810"/>
            <w:rFonts w:hint="eastAsia" w:cs="仿宋" w:asciiTheme="minorEastAsia" w:hAnsiTheme="minorEastAsia" w:eastAsiaTheme="minorEastAsia"/>
            <w:color w:val="000000" w:themeColor="text1"/>
            <w:sz w:val="24"/>
            <w:szCs w:val="24"/>
          </w:rPr>
          <w:t xml:space="preserve">1</w:t>
        </w:r>
        <w:r>
          <w:rPr>
            <w:rStyle w:val="810"/>
            <w:rFonts w:hint="eastAsia" w:cs="仿宋" w:asciiTheme="minorEastAsia" w:hAnsiTheme="minorEastAsia" w:eastAsiaTheme="minorEastAsia"/>
            <w:color w:val="000000" w:themeColor="text1"/>
            <w:sz w:val="24"/>
            <w:szCs w:val="24"/>
          </w:rPr>
          <w:t xml:space="preserve">2</w:t>
        </w:r>
        <w:r>
          <w:rPr>
            <w:rStyle w:val="810"/>
            <w:rFonts w:hint="eastAsia" w:cs="仿宋" w:asciiTheme="minorEastAsia" w:hAnsiTheme="minorEastAsia" w:eastAsiaTheme="minorEastAsia"/>
            <w:color w:val="000000" w:themeColor="text1"/>
            <w:sz w:val="24"/>
            <w:szCs w:val="24"/>
          </w:rPr>
          <w:t xml:space="preserve">月</w:t>
        </w:r>
      </w:hyperlink>
      <w:r>
        <w:rPr>
          <w:rStyle w:val="810"/>
          <w:rFonts w:hint="eastAsia" w:cs="仿宋" w:asciiTheme="minorEastAsia" w:hAnsiTheme="minorEastAsia" w:eastAsiaTheme="minorEastAsia"/>
          <w:color w:val="000000" w:themeColor="text1"/>
          <w:sz w:val="24"/>
          <w:szCs w:val="24"/>
        </w:rPr>
        <w:t xml:space="preserve">16</w:t>
      </w:r>
      <w:r>
        <w:rPr>
          <w:rFonts w:hint="eastAsia" w:cs="仿宋" w:asciiTheme="minorEastAsia" w:hAnsiTheme="minorEastAsia" w:eastAsiaTheme="minorEastAsia"/>
          <w:color w:val="000000" w:themeColor="text1"/>
          <w:sz w:val="24"/>
          <w:szCs w:val="24"/>
          <w:u w:val="single"/>
        </w:rPr>
        <w:t xml:space="preserve">日</w:t>
      </w:r>
      <w:r>
        <w:rPr>
          <w:rFonts w:hint="eastAsia" w:cs="仿宋" w:asciiTheme="minorEastAsia" w:hAnsiTheme="minorEastAsia" w:eastAsiaTheme="minorEastAsia"/>
          <w:color w:val="000000" w:themeColor="text1"/>
          <w:sz w:val="24"/>
          <w:szCs w:val="24"/>
          <w:u w:val="single"/>
        </w:rPr>
        <w:t xml:space="preserve">9</w:t>
      </w:r>
      <w:r>
        <w:rPr>
          <w:rFonts w:hint="eastAsia" w:cs="仿宋" w:asciiTheme="minorEastAsia" w:hAnsiTheme="minorEastAsia" w:eastAsiaTheme="minorEastAsia"/>
          <w:color w:val="000000" w:themeColor="text1"/>
          <w:sz w:val="24"/>
          <w:szCs w:val="24"/>
          <w:u w:val="single"/>
        </w:rPr>
        <w:t xml:space="preserve">时</w:t>
      </w:r>
      <w:r>
        <w:rPr>
          <w:rFonts w:hint="eastAsia" w:cs="仿宋" w:asciiTheme="minorEastAsia" w:hAnsiTheme="minorEastAsia" w:eastAsiaTheme="minorEastAsia"/>
          <w:color w:val="000000" w:themeColor="text1"/>
          <w:sz w:val="24"/>
          <w:szCs w:val="24"/>
          <w:u w:val="single"/>
        </w:rPr>
        <w:t xml:space="preserve">3</w:t>
      </w:r>
      <w:r>
        <w:rPr>
          <w:rFonts w:hint="eastAsia" w:cs="仿宋" w:asciiTheme="minorEastAsia" w:hAnsiTheme="minorEastAsia" w:eastAsiaTheme="minorEastAsia"/>
          <w:color w:val="000000" w:themeColor="text1"/>
          <w:sz w:val="24"/>
          <w:szCs w:val="24"/>
          <w:u w:val="single"/>
        </w:rPr>
        <w:t xml:space="preserve">0分</w:t>
      </w:r>
      <w:r>
        <w:rPr>
          <w:rFonts w:hint="eastAsia" w:cs="仿宋" w:asciiTheme="minorEastAsia" w:hAnsiTheme="minorEastAsia" w:eastAsiaTheme="minorEastAsia"/>
          <w:bCs/>
          <w:color w:val="000000" w:themeColor="text1"/>
          <w:sz w:val="24"/>
          <w:szCs w:val="24"/>
        </w:rPr>
        <w:t xml:space="preserve">（北京时间）前上传投标文件</w:t>
      </w:r>
      <w:r>
        <w:rPr>
          <w:rFonts w:hint="eastAsia" w:cs="仿宋" w:asciiTheme="minorEastAsia" w:hAnsiTheme="minorEastAsia" w:eastAsiaTheme="minorEastAsia"/>
          <w:color w:val="000000" w:themeColor="text1"/>
          <w:sz w:val="24"/>
          <w:szCs w:val="24"/>
        </w:rPr>
        <w:t xml:space="preserve">。</w:t>
      </w:r>
      <w:r/>
    </w:p>
    <w:p>
      <w:pPr>
        <w:pStyle w:val="966"/>
        <w:spacing w:before="0" w:after="0" w:line="360" w:lineRule="auto"/>
        <w:rPr>
          <w:rFonts w:hint="eastAsia" w:cs="仿宋" w:asciiTheme="minorEastAsia" w:hAnsiTheme="minorEastAsia" w:eastAsiaTheme="minorEastAsia"/>
          <w:bCs w:val="0"/>
          <w:color w:val="000000" w:themeColor="text1"/>
          <w:sz w:val="24"/>
          <w:szCs w:val="24"/>
        </w:rPr>
      </w:pPr>
      <w:r/>
      <w:bookmarkStart w:id="5" w:name="_Toc28359002"/>
      <w:r/>
      <w:bookmarkStart w:id="6" w:name="_Toc28359079"/>
      <w:r/>
      <w:bookmarkStart w:id="7" w:name="_Toc35393790"/>
      <w:r/>
      <w:bookmarkStart w:id="8" w:name="_Toc35393621"/>
      <w:r/>
      <w:bookmarkStart w:id="9" w:name="_Hlk24379207"/>
      <w:r>
        <w:rPr>
          <w:rFonts w:hint="eastAsia" w:cs="仿宋" w:asciiTheme="minorEastAsia" w:hAnsiTheme="minorEastAsia" w:eastAsiaTheme="minorEastAsia"/>
          <w:bCs w:val="0"/>
          <w:color w:val="000000" w:themeColor="text1"/>
          <w:sz w:val="24"/>
          <w:szCs w:val="24"/>
        </w:rPr>
        <w:t xml:space="preserve">一、项目基本情况</w:t>
      </w:r>
      <w:bookmarkEnd w:id="5"/>
      <w:r/>
      <w:bookmarkEnd w:id="6"/>
      <w:r/>
      <w:bookmarkEnd w:id="7"/>
      <w:r/>
      <w:bookmarkEnd w:id="8"/>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w:t>
      </w:r>
      <w:r>
        <w:rPr>
          <w:rFonts w:cs="仿宋" w:asciiTheme="minorEastAsia" w:hAnsiTheme="minorEastAsia" w:eastAsiaTheme="minorEastAsia"/>
          <w:color w:val="000000" w:themeColor="text1"/>
          <w:sz w:val="24"/>
          <w:szCs w:val="24"/>
        </w:rPr>
        <w:t xml:space="preserve">JSZC-321204-HWZX-G2025-0864</w:t>
      </w:r>
      <w:r>
        <w:rPr>
          <w:rFonts w:cs="仿宋" w:asciiTheme="minorEastAsia" w:hAnsiTheme="minorEastAsia" w:eastAsiaTheme="minorEastAsia"/>
          <w:color w:val="000000" w:themeColor="text1"/>
          <w:sz w:val="24"/>
          <w:szCs w:val="24"/>
        </w:rPr>
        <w:t xml:space="preserve">（JYZC-2025</w:t>
      </w:r>
      <w:r>
        <w:rPr>
          <w:rFonts w:hint="eastAsia" w:cs="仿宋" w:asciiTheme="minorEastAsia" w:hAnsiTheme="minorEastAsia" w:eastAsiaTheme="minorEastAsia"/>
          <w:color w:val="000000" w:themeColor="text1"/>
          <w:sz w:val="24"/>
          <w:szCs w:val="24"/>
        </w:rPr>
        <w:t xml:space="preserve">167</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采购代理编号：</w:t>
      </w:r>
      <w:r>
        <w:rPr>
          <w:rFonts w:cs="仿宋" w:asciiTheme="minorEastAsia" w:hAnsiTheme="minorEastAsia" w:eastAsiaTheme="minorEastAsia"/>
          <w:color w:val="000000" w:themeColor="text1"/>
          <w:sz w:val="24"/>
          <w:szCs w:val="24"/>
        </w:rPr>
        <w:t xml:space="preserve">0675-256JOC016264</w:t>
      </w:r>
      <w:r>
        <w:rPr>
          <w:rFonts w:cs="仿宋" w:asciiTheme="minorEastAsia" w:hAnsiTheme="minorEastAsia" w:eastAsiaTheme="minorEastAsia"/>
          <w:color w:val="000000" w:themeColor="text1"/>
          <w:sz w:val="24"/>
          <w:szCs w:val="24"/>
        </w:rPr>
        <w:t xml:space="preserve">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bookmarkEnd w:id="9"/>
      <w:r>
        <w:rPr>
          <w:rFonts w:hint="eastAsia" w:cs="仿宋" w:asciiTheme="minorEastAsia" w:hAnsiTheme="minorEastAsia" w:eastAsiaTheme="minorEastAsia"/>
          <w:color w:val="000000" w:themeColor="text1"/>
          <w:sz w:val="24"/>
          <w:szCs w:val="24"/>
        </w:rPr>
        <w:t xml:space="preserve">便携式B超、糖筛工作站相关设备</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预算金额：</w:t>
      </w:r>
      <w:r>
        <w:rPr>
          <w:rFonts w:hint="eastAsia" w:cs="仿宋" w:asciiTheme="minorEastAsia" w:hAnsiTheme="minorEastAsia" w:eastAsiaTheme="minorEastAsia"/>
          <w:color w:val="000000" w:themeColor="text1"/>
          <w:sz w:val="24"/>
          <w:szCs w:val="24"/>
        </w:rPr>
        <w:t xml:space="preserve">66</w:t>
      </w:r>
      <w:r>
        <w:rPr>
          <w:rFonts w:hint="eastAsia" w:cs="仿宋" w:asciiTheme="minorEastAsia" w:hAnsiTheme="minorEastAsia" w:eastAsiaTheme="minorEastAsia"/>
          <w:color w:val="000000" w:themeColor="text1"/>
          <w:sz w:val="24"/>
          <w:szCs w:val="24"/>
        </w:rPr>
        <w:t xml:space="preserve">万元</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最高限价：</w:t>
      </w:r>
      <w:r>
        <w:rPr>
          <w:rFonts w:hint="eastAsia" w:cs="仿宋" w:asciiTheme="minorEastAsia" w:hAnsiTheme="minorEastAsia" w:eastAsiaTheme="minorEastAsia"/>
          <w:color w:val="000000" w:themeColor="text1"/>
          <w:sz w:val="24"/>
          <w:szCs w:val="24"/>
        </w:rPr>
        <w:t xml:space="preserve">54.4</w:t>
      </w:r>
      <w:r>
        <w:rPr>
          <w:rFonts w:hint="eastAsia" w:cs="仿宋" w:asciiTheme="minorEastAsia" w:hAnsiTheme="minorEastAsia" w:eastAsiaTheme="minorEastAsia"/>
          <w:color w:val="000000" w:themeColor="text1"/>
          <w:sz w:val="24"/>
          <w:szCs w:val="24"/>
        </w:rPr>
        <w:t xml:space="preserve">万元</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采购需求：</w:t>
      </w:r>
      <w:r/>
    </w:p>
    <w:tbl>
      <w:tblPr>
        <w:tblStyle w:val="993"/>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16"/>
        <w:gridCol w:w="3440"/>
        <w:gridCol w:w="1136"/>
        <w:gridCol w:w="1846"/>
        <w:gridCol w:w="1068"/>
      </w:tblGrid>
      <w:tr>
        <w:trPr>
          <w:jc w:val="center"/>
          <w:trHeight w:val="1041"/>
        </w:trPr>
        <w:tc>
          <w:tcPr>
            <w:tcW w:w="49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07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68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11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预算/最高限价</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（万元）</w:t>
            </w:r>
            <w:r/>
          </w:p>
        </w:tc>
        <w:tc>
          <w:tcPr>
            <w:tcW w:w="64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是否接受进口产品</w:t>
            </w:r>
            <w:r/>
          </w:p>
        </w:tc>
      </w:tr>
      <w:tr>
        <w:trPr>
          <w:jc w:val="center"/>
          <w:trHeight w:val="939" w:hRule="exact"/>
        </w:trPr>
        <w:tc>
          <w:tcPr>
            <w:shd w:val="clear" w:color="auto" w:fill="ffffff"/>
            <w:tcW w:w="49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W w:w="207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便携式B超、糖筛工作站相关设备</w:t>
            </w:r>
            <w:r/>
          </w:p>
        </w:tc>
        <w:tc>
          <w:tcPr>
            <w:shd w:val="clear" w:color="auto" w:fill="ffffff"/>
            <w:tcW w:w="68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批</w:t>
            </w:r>
            <w:r/>
          </w:p>
        </w:tc>
        <w:tc>
          <w:tcPr>
            <w:shd w:val="clear" w:color="auto" w:fill="ffffff"/>
            <w:tcW w:w="111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66</w:t>
            </w:r>
            <w:r>
              <w:rPr>
                <w:rFonts w:hint="eastAsia" w:ascii="宋体" w:hAnsi="宋体" w:eastAsia="宋体" w:cs="宋体"/>
                <w:sz w:val="24"/>
                <w:szCs w:val="24"/>
              </w:rPr>
              <w:t xml:space="preserve">/</w:t>
            </w:r>
            <w:r>
              <w:rPr>
                <w:rFonts w:hint="eastAsia" w:ascii="宋体" w:hAnsi="宋体" w:eastAsia="宋体" w:cs="宋体"/>
                <w:sz w:val="24"/>
                <w:szCs w:val="24"/>
              </w:rPr>
              <w:t xml:space="preserve">54.4</w:t>
            </w:r>
            <w:r/>
          </w:p>
        </w:tc>
        <w:tc>
          <w:tcPr>
            <w:shd w:val="clear" w:color="auto" w:fill="ffffff"/>
            <w:tcW w:w="64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否</w:t>
            </w:r>
            <w:r/>
          </w:p>
        </w:tc>
      </w:tr>
    </w:tbl>
    <w:p>
      <w:pPr>
        <w:pStyle w:val="967"/>
        <w:ind w:firstLine="480"/>
        <w:spacing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合同履行期限：合同签订后一个月内</w:t>
      </w:r>
      <w:r/>
    </w:p>
    <w:p>
      <w:pPr>
        <w:pStyle w:val="967"/>
        <w:ind w:firstLine="480"/>
        <w:spacing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本项目不接受联合体投标。</w:t>
      </w:r>
      <w:r/>
    </w:p>
    <w:p>
      <w:pPr>
        <w:pStyle w:val="966"/>
        <w:spacing w:before="0" w:after="0" w:line="360" w:lineRule="auto"/>
        <w:rPr>
          <w:rFonts w:hint="eastAsia" w:cs="仿宋" w:asciiTheme="minorEastAsia" w:hAnsiTheme="minorEastAsia" w:eastAsiaTheme="minorEastAsia"/>
          <w:bCs w:val="0"/>
          <w:color w:val="000000" w:themeColor="text1"/>
          <w:sz w:val="24"/>
          <w:szCs w:val="24"/>
        </w:rPr>
      </w:pPr>
      <w:r/>
      <w:bookmarkStart w:id="10" w:name="_Toc35393791"/>
      <w:r/>
      <w:bookmarkStart w:id="11" w:name="_Toc28359080"/>
      <w:r/>
      <w:bookmarkStart w:id="12" w:name="_Toc28359003"/>
      <w:r/>
      <w:bookmarkStart w:id="13" w:name="_Toc35393622"/>
      <w:r>
        <w:rPr>
          <w:rFonts w:hint="eastAsia" w:cs="仿宋" w:asciiTheme="minorEastAsia" w:hAnsiTheme="minorEastAsia" w:eastAsiaTheme="minorEastAsia"/>
          <w:bCs w:val="0"/>
          <w:color w:val="000000" w:themeColor="text1"/>
          <w:sz w:val="24"/>
          <w:szCs w:val="24"/>
        </w:rPr>
        <w:t xml:space="preserve">二、申请人的资格要求：</w:t>
      </w:r>
      <w:bookmarkEnd w:id="10"/>
      <w:r/>
      <w:bookmarkEnd w:id="11"/>
      <w:r/>
      <w:bookmarkEnd w:id="12"/>
      <w:r/>
      <w:bookmarkEnd w:id="13"/>
      <w:r/>
      <w:r/>
    </w:p>
    <w:p>
      <w:pPr>
        <w:ind w:firstLine="482"/>
        <w:spacing w:line="360" w:lineRule="auto"/>
        <w:rPr>
          <w:rFonts w:hint="eastAsia" w:ascii="宋体" w:hAnsi="宋体" w:eastAsia="宋体" w:cs="Arial"/>
          <w:b/>
          <w:bCs/>
          <w:sz w:val="24"/>
          <w:szCs w:val="21"/>
        </w:rPr>
      </w:pPr>
      <w:r/>
      <w:bookmarkStart w:id="14" w:name="_Hlk142317588"/>
      <w:r/>
      <w:bookmarkStart w:id="15" w:name="_Toc28359081"/>
      <w:r/>
      <w:bookmarkStart w:id="16" w:name="_Toc28359004"/>
      <w:r/>
      <w:bookmarkStart w:id="17" w:name="_Toc35393792"/>
      <w:r/>
      <w:bookmarkStart w:id="18" w:name="_Toc35393623"/>
      <w:r>
        <w:rPr>
          <w:rFonts w:hint="eastAsia" w:ascii="宋体" w:hAnsi="宋体" w:eastAsia="宋体" w:cs="Arial"/>
          <w:b/>
          <w:bCs/>
          <w:sz w:val="24"/>
          <w:szCs w:val="21"/>
        </w:rPr>
        <w:t xml:space="preserve">（一）通用资格要求</w:t>
      </w:r>
      <w:r/>
    </w:p>
    <w:p>
      <w:pPr>
        <w:ind w:firstLine="480"/>
        <w:spacing w:line="360" w:lineRule="auto"/>
        <w:rPr>
          <w:rFonts w:hint="eastAsia" w:ascii="宋体" w:hAnsi="宋体" w:eastAsia="宋体" w:cs="Arial"/>
          <w:sz w:val="24"/>
          <w:szCs w:val="21"/>
        </w:rPr>
      </w:pPr>
      <w:r>
        <w:rPr>
          <w:rFonts w:hint="eastAsia" w:ascii="宋体" w:hAnsi="宋体" w:eastAsia="宋体" w:cs="Arial"/>
          <w:sz w:val="24"/>
          <w:szCs w:val="21"/>
        </w:rPr>
        <w:t xml:space="preserve">1、满足《中华人民共和国政府采购法》第二十二条规定，并提供下列材料：</w:t>
      </w:r>
      <w:r/>
    </w:p>
    <w:p>
      <w:pPr>
        <w:ind w:firstLine="480"/>
        <w:spacing w:line="360" w:lineRule="auto"/>
        <w:rPr>
          <w:rFonts w:hint="eastAsia" w:ascii="宋体" w:hAnsi="宋体" w:eastAsia="宋体" w:cs="Arial"/>
          <w:sz w:val="24"/>
          <w:szCs w:val="21"/>
        </w:rPr>
      </w:pPr>
      <w:r>
        <w:rPr>
          <w:rFonts w:hint="eastAsia" w:ascii="宋体" w:hAnsi="宋体" w:eastAsia="宋体" w:cs="Arial"/>
          <w:sz w:val="24"/>
          <w:szCs w:val="21"/>
        </w:rPr>
        <w:t xml:space="preserve">（1）具有独立承担民事责任的能力</w:t>
      </w:r>
      <w:r/>
    </w:p>
    <w:p>
      <w:pPr>
        <w:ind w:firstLine="480"/>
        <w:spacing w:line="360" w:lineRule="auto"/>
        <w:rPr>
          <w:rFonts w:hint="eastAsia" w:ascii="宋体" w:hAnsi="宋体" w:eastAsia="宋体" w:cs="Arial"/>
          <w:sz w:val="24"/>
          <w:szCs w:val="21"/>
        </w:rPr>
      </w:pPr>
      <w:r>
        <w:rPr>
          <w:rFonts w:hint="eastAsia" w:ascii="宋体" w:hAnsi="宋体" w:eastAsia="宋体" w:cs="Arial"/>
          <w:sz w:val="24"/>
          <w:szCs w:val="21"/>
        </w:rPr>
        <w:t xml:space="preserve">（2）具有良好的商业信誉和健全的财务会计制度</w:t>
      </w:r>
      <w:r/>
    </w:p>
    <w:p>
      <w:pPr>
        <w:ind w:firstLine="480"/>
        <w:spacing w:line="360" w:lineRule="auto"/>
        <w:rPr>
          <w:rFonts w:hint="eastAsia" w:ascii="宋体" w:hAnsi="宋体" w:eastAsia="宋体" w:cs="Arial"/>
          <w:sz w:val="24"/>
          <w:szCs w:val="21"/>
        </w:rPr>
      </w:pPr>
      <w:r>
        <w:rPr>
          <w:rFonts w:hint="eastAsia" w:ascii="宋体" w:hAnsi="宋体" w:eastAsia="宋体" w:cs="Arial"/>
          <w:sz w:val="24"/>
          <w:szCs w:val="21"/>
        </w:rPr>
        <w:t xml:space="preserve">（3）具有履行合同所必须的设备和专业技术能力</w:t>
      </w:r>
      <w:r/>
    </w:p>
    <w:p>
      <w:pPr>
        <w:ind w:firstLine="480"/>
        <w:spacing w:line="360" w:lineRule="auto"/>
        <w:rPr>
          <w:rFonts w:hint="eastAsia" w:ascii="宋体" w:hAnsi="宋体" w:eastAsia="宋体" w:cs="Arial"/>
          <w:sz w:val="24"/>
          <w:szCs w:val="21"/>
        </w:rPr>
      </w:pPr>
      <w:r>
        <w:rPr>
          <w:rFonts w:hint="eastAsia" w:ascii="宋体" w:hAnsi="宋体" w:eastAsia="宋体" w:cs="Arial"/>
          <w:sz w:val="24"/>
          <w:szCs w:val="21"/>
        </w:rPr>
        <w:t xml:space="preserve">（4）有依法缴纳税收和社会保障资金的良好记录</w:t>
      </w:r>
      <w:r/>
    </w:p>
    <w:p>
      <w:pPr>
        <w:ind w:firstLine="480"/>
        <w:spacing w:line="360" w:lineRule="auto"/>
        <w:rPr>
          <w:rFonts w:hint="eastAsia" w:ascii="宋体" w:hAnsi="宋体" w:eastAsia="宋体" w:cs="Arial"/>
          <w:sz w:val="24"/>
          <w:szCs w:val="21"/>
        </w:rPr>
      </w:pPr>
      <w:r>
        <w:rPr>
          <w:rFonts w:hint="eastAsia" w:ascii="宋体" w:hAnsi="宋体" w:eastAsia="宋体" w:cs="Arial"/>
          <w:sz w:val="24"/>
          <w:szCs w:val="21"/>
        </w:rPr>
        <w:t xml:space="preserve">（5）参加政府采购活动前三年内，在经营活动中没有重大违法记录</w:t>
      </w:r>
      <w:r/>
    </w:p>
    <w:p>
      <w:pPr>
        <w:ind w:firstLine="480"/>
        <w:spacing w:line="360" w:lineRule="auto"/>
        <w:rPr>
          <w:rFonts w:hint="eastAsia" w:ascii="宋体" w:hAnsi="宋体" w:eastAsia="宋体"/>
          <w:bCs/>
          <w:sz w:val="24"/>
          <w:szCs w:val="24"/>
        </w:rPr>
      </w:pPr>
      <w:r>
        <w:rPr>
          <w:rFonts w:hint="eastAsia" w:ascii="宋体" w:hAnsi="宋体" w:eastAsia="宋体" w:cs="Arial"/>
          <w:sz w:val="24"/>
          <w:szCs w:val="21"/>
        </w:rPr>
        <w:t xml:space="preserve">（6）法律、行政法规规定的其他条件。</w:t>
      </w:r>
      <w:bookmarkEnd w:id="14"/>
      <w:r/>
      <w:r/>
    </w:p>
    <w:p>
      <w:pPr>
        <w:ind w:firstLine="480"/>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2、落实政府采购政策需满足的资格要求：</w:t>
      </w:r>
      <w:r/>
    </w:p>
    <w:p>
      <w:pPr>
        <w:ind w:firstLine="480"/>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2.1</w:t>
      </w:r>
      <w:r>
        <w:rPr>
          <w:rFonts w:ascii="宋体" w:hAnsi="宋体" w:eastAsia="宋体" w:cs="仿宋"/>
          <w:bCs/>
          <w:sz w:val="24"/>
          <w:szCs w:val="24"/>
        </w:rPr>
        <w:t xml:space="preserve">本项目属于</w:t>
      </w:r>
      <w:r>
        <w:rPr>
          <w:rFonts w:ascii="宋体" w:hAnsi="宋体" w:eastAsia="宋体" w:cs="仿宋"/>
          <w:bCs/>
          <w:sz w:val="24"/>
          <w:szCs w:val="24"/>
          <w:u w:val="single"/>
        </w:rPr>
        <w:t xml:space="preserve">货物类</w:t>
      </w:r>
      <w:r>
        <w:rPr>
          <w:rFonts w:ascii="宋体" w:hAnsi="宋体" w:eastAsia="宋体" w:cs="仿宋"/>
          <w:bCs/>
          <w:sz w:val="24"/>
          <w:szCs w:val="24"/>
        </w:rPr>
        <w:t xml:space="preserve">采购。</w:t>
      </w:r>
      <w:r>
        <w:rPr>
          <w:rFonts w:hint="eastAsia" w:ascii="宋体" w:hAnsi="宋体" w:eastAsia="宋体" w:cs="仿宋"/>
          <w:bCs/>
          <w:sz w:val="24"/>
          <w:szCs w:val="24"/>
        </w:rPr>
        <w:t xml:space="preserve">不</w:t>
      </w:r>
      <w:r>
        <w:rPr>
          <w:rFonts w:hint="eastAsia" w:ascii="宋体" w:hAnsi="宋体" w:eastAsia="宋体" w:cs="仿宋"/>
          <w:bCs/>
          <w:sz w:val="24"/>
          <w:szCs w:val="24"/>
        </w:rPr>
        <w:t xml:space="preserve">专门面向中小企业采购。</w:t>
      </w:r>
      <w:r>
        <w:rPr>
          <w:rFonts w:ascii="宋体" w:hAnsi="宋体" w:eastAsia="宋体" w:cs="仿宋"/>
          <w:bCs/>
          <w:sz w:val="24"/>
          <w:szCs w:val="24"/>
        </w:rPr>
        <w:t xml:space="preserve">根据《政府采购</w:t>
      </w:r>
      <w:r>
        <w:rPr>
          <w:rFonts w:ascii="宋体" w:hAnsi="宋体" w:eastAsia="宋体" w:cs="仿宋"/>
          <w:bCs/>
          <w:sz w:val="24"/>
          <w:szCs w:val="24"/>
        </w:rPr>
        <w:t xml:space="preserve">促进中小企业发展管理办法》（财库〔2020〕46号）、《关于做好政府采购支持企业发展有关事项的通知》(苏</w:t>
      </w:r>
      <w:r>
        <w:rPr>
          <w:rFonts w:ascii="宋体" w:hAnsi="宋体" w:eastAsia="宋体" w:cs="仿宋"/>
          <w:bCs/>
          <w:sz w:val="24"/>
          <w:szCs w:val="24"/>
        </w:rPr>
        <w:t xml:space="preserve">财购(</w:t>
      </w:r>
      <w:r>
        <w:rPr>
          <w:rFonts w:ascii="宋体" w:hAnsi="宋体" w:eastAsia="宋体" w:cs="仿宋"/>
          <w:bCs/>
          <w:sz w:val="24"/>
          <w:szCs w:val="24"/>
        </w:rPr>
        <w:t xml:space="preserve">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eastAsia="宋体" w:cs="仿宋"/>
          <w:bCs/>
          <w:sz w:val="24"/>
          <w:szCs w:val="24"/>
        </w:rPr>
        <w:t xml:space="preserve">供应商</w:t>
      </w:r>
      <w:r>
        <w:rPr>
          <w:rFonts w:ascii="宋体" w:hAnsi="宋体" w:eastAsia="宋体" w:cs="仿宋"/>
          <w:bCs/>
          <w:sz w:val="24"/>
          <w:szCs w:val="24"/>
        </w:rPr>
        <w:t xml:space="preserve">企业规模。（</w:t>
      </w:r>
      <w:r>
        <w:rPr>
          <w:rFonts w:hint="eastAsia" w:ascii="宋体" w:hAnsi="宋体" w:eastAsia="宋体" w:cs="仿宋"/>
          <w:bCs/>
          <w:sz w:val="24"/>
          <w:szCs w:val="24"/>
        </w:rPr>
        <w:t xml:space="preserve">供应商</w:t>
      </w:r>
      <w:r>
        <w:rPr>
          <w:rFonts w:ascii="宋体" w:hAnsi="宋体" w:eastAsia="宋体" w:cs="仿宋"/>
          <w:bCs/>
          <w:sz w:val="24"/>
          <w:szCs w:val="24"/>
        </w:rPr>
        <w:t xml:space="preserve">必须提供</w:t>
      </w:r>
      <w:r>
        <w:rPr>
          <w:rFonts w:hint="eastAsia" w:ascii="宋体" w:hAnsi="宋体" w:eastAsia="宋体" w:cs="仿宋"/>
          <w:bCs/>
          <w:sz w:val="24"/>
          <w:szCs w:val="24"/>
        </w:rPr>
        <w:t xml:space="preserve">中小企业声明函</w:t>
      </w:r>
      <w:r>
        <w:rPr>
          <w:rFonts w:ascii="宋体" w:hAnsi="宋体" w:eastAsia="宋体" w:cs="仿宋"/>
          <w:bCs/>
          <w:sz w:val="24"/>
          <w:szCs w:val="24"/>
        </w:rPr>
        <w:t xml:space="preserve">（见格式））</w:t>
      </w:r>
      <w:r/>
    </w:p>
    <w:p>
      <w:pPr>
        <w:ind w:firstLine="480"/>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2</w:t>
      </w:r>
      <w:r>
        <w:rPr>
          <w:rFonts w:ascii="宋体" w:hAnsi="宋体" w:eastAsia="宋体" w:cs="仿宋"/>
          <w:bCs/>
          <w:sz w:val="24"/>
          <w:szCs w:val="24"/>
        </w:rPr>
        <w:t xml:space="preserve">.2中小</w:t>
      </w:r>
      <w:r>
        <w:rPr>
          <w:rFonts w:ascii="宋体" w:hAnsi="宋体" w:eastAsia="宋体" w:cs="仿宋"/>
          <w:bCs/>
          <w:sz w:val="24"/>
          <w:szCs w:val="24"/>
        </w:rPr>
        <w:t xml:space="preserve">微企业</w:t>
      </w:r>
      <w:r>
        <w:rPr>
          <w:rFonts w:ascii="宋体" w:hAnsi="宋体" w:eastAsia="宋体" w:cs="仿宋"/>
          <w:bCs/>
          <w:sz w:val="24"/>
          <w:szCs w:val="24"/>
        </w:rPr>
        <w:t xml:space="preserve">划型标准请对照《关于印发中小企业划型标准规定的通知》（工信部联企业〔2011〕300号）（详见</w:t>
      </w:r>
      <w:r>
        <w:rPr>
          <w:rFonts w:hint="eastAsia" w:ascii="宋体" w:hAnsi="宋体" w:eastAsia="宋体" w:cs="仿宋"/>
          <w:bCs/>
          <w:sz w:val="24"/>
          <w:szCs w:val="24"/>
        </w:rPr>
        <w:t xml:space="preserve">格式</w:t>
      </w:r>
      <w:r>
        <w:rPr>
          <w:rFonts w:ascii="宋体" w:hAnsi="宋体" w:eastAsia="宋体" w:cs="仿宋"/>
          <w:bCs/>
          <w:sz w:val="24"/>
          <w:szCs w:val="24"/>
        </w:rPr>
        <w:t xml:space="preserve">）。本项目采购标的对应的行业主要为</w:t>
      </w:r>
      <w:r>
        <w:rPr>
          <w:rFonts w:ascii="宋体" w:hAnsi="宋体" w:eastAsia="宋体" w:cs="仿宋"/>
          <w:bCs/>
          <w:sz w:val="24"/>
          <w:szCs w:val="24"/>
          <w:u w:val="single"/>
        </w:rPr>
        <w:t xml:space="preserve">工业</w:t>
      </w:r>
      <w:r>
        <w:rPr>
          <w:rFonts w:ascii="宋体" w:hAnsi="宋体" w:eastAsia="宋体" w:cs="仿宋"/>
          <w:bCs/>
          <w:sz w:val="24"/>
          <w:szCs w:val="24"/>
        </w:rPr>
        <w:t xml:space="preserve">。</w:t>
      </w:r>
      <w:r/>
    </w:p>
    <w:p>
      <w:pPr>
        <w:ind w:firstLine="480"/>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3、本项目的特定资格要求：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供应商需提供三类医疗器械经营企业许可证/二类医疗器械经营备案凭证、所投产</w:t>
      </w:r>
      <w:r>
        <w:rPr>
          <w:rFonts w:hint="eastAsia" w:ascii="宋体" w:hAnsi="宋体" w:eastAsia="宋体" w:cs="仿宋"/>
          <w:sz w:val="24"/>
          <w:szCs w:val="24"/>
        </w:rPr>
        <w:t xml:space="preserve">品医疗</w:t>
      </w:r>
      <w:r>
        <w:rPr>
          <w:rFonts w:hint="eastAsia" w:ascii="宋体" w:hAnsi="宋体" w:eastAsia="宋体" w:cs="仿宋"/>
          <w:sz w:val="24"/>
          <w:szCs w:val="24"/>
        </w:rPr>
        <w:t xml:space="preserve">器械注册证（包括附件）、医</w:t>
      </w:r>
      <w:r>
        <w:rPr>
          <w:rFonts w:hint="eastAsia" w:ascii="宋体" w:hAnsi="宋体" w:eastAsia="宋体" w:cs="仿宋"/>
          <w:sz w:val="24"/>
          <w:szCs w:val="24"/>
        </w:rPr>
        <w:t xml:space="preserve">疗器械产品注册登记表/医疗器械备案凭证。（如适用）</w:t>
      </w:r>
      <w:r/>
    </w:p>
    <w:p>
      <w:pPr>
        <w:pStyle w:val="966"/>
        <w:spacing w:before="0" w:after="0" w:line="360" w:lineRule="auto"/>
        <w:rPr>
          <w:rFonts w:hint="eastAsia"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三、获取招标文件</w:t>
      </w:r>
      <w:bookmarkEnd w:id="15"/>
      <w:r/>
      <w:bookmarkEnd w:id="16"/>
      <w:r/>
      <w:bookmarkEnd w:id="17"/>
      <w:r/>
      <w:bookmarkEnd w:id="18"/>
      <w:r>
        <w:rPr>
          <w:rFonts w:hint="eastAsia" w:cs="仿宋" w:asciiTheme="minorEastAsia" w:hAnsiTheme="minorEastAsia" w:eastAsiaTheme="minorEastAsia"/>
          <w:bCs w:val="0"/>
          <w:color w:val="000000" w:themeColor="text1"/>
          <w:sz w:val="24"/>
          <w:szCs w:val="24"/>
        </w:rPr>
        <w:t xml:space="preserve">：</w:t>
      </w:r>
      <w:r/>
    </w:p>
    <w:p>
      <w:pPr>
        <w:spacing w:line="360" w:lineRule="auto"/>
        <w:rPr>
          <w:rFonts w:hint="eastAsia" w:ascii="宋体" w:hAnsi="宋体" w:eastAsia="宋体" w:cs="宋体"/>
          <w:sz w:val="24"/>
          <w:szCs w:val="24"/>
        </w:rPr>
      </w:pPr>
      <w:r/>
      <w:bookmarkStart w:id="19" w:name="_Toc28359082"/>
      <w:r/>
      <w:bookmarkStart w:id="20" w:name="_Toc28359005"/>
      <w:r/>
      <w:bookmarkStart w:id="21" w:name="_Toc35393624"/>
      <w:r/>
      <w:bookmarkStart w:id="22" w:name="_Toc35393793"/>
      <w:r>
        <w:rPr>
          <w:rFonts w:hint="eastAsia" w:ascii="宋体" w:hAnsi="宋体" w:eastAsia="宋体" w:cs="宋体"/>
          <w:sz w:val="24"/>
          <w:szCs w:val="24"/>
        </w:rPr>
        <w:t xml:space="preserve">1、时间：2025年</w:t>
      </w:r>
      <w:r>
        <w:rPr>
          <w:rFonts w:hint="eastAsia" w:ascii="宋体" w:hAnsi="宋体" w:eastAsia="宋体" w:cs="宋体"/>
          <w:sz w:val="24"/>
          <w:szCs w:val="24"/>
        </w:rPr>
        <w:t xml:space="preserve">1</w:t>
      </w:r>
      <w:r>
        <w:rPr>
          <w:rFonts w:hint="eastAsia" w:ascii="宋体" w:hAnsi="宋体" w:eastAsia="宋体" w:cs="宋体"/>
          <w:sz w:val="24"/>
          <w:szCs w:val="24"/>
        </w:rPr>
        <w:t xml:space="preserve">1</w:t>
      </w:r>
      <w:r>
        <w:rPr>
          <w:rFonts w:hint="eastAsia" w:ascii="宋体" w:hAnsi="宋体" w:eastAsia="宋体" w:cs="宋体"/>
          <w:sz w:val="24"/>
          <w:szCs w:val="24"/>
        </w:rPr>
        <w:t xml:space="preserve">月</w:t>
      </w:r>
      <w:r>
        <w:rPr>
          <w:rFonts w:hint="eastAsia" w:ascii="宋体" w:hAnsi="宋体" w:eastAsia="宋体" w:cs="宋体"/>
          <w:sz w:val="24"/>
          <w:szCs w:val="24"/>
        </w:rPr>
        <w:t xml:space="preserve">25</w:t>
      </w:r>
      <w:r>
        <w:rPr>
          <w:rFonts w:hint="eastAsia" w:ascii="宋体" w:hAnsi="宋体" w:eastAsia="宋体" w:cs="宋体"/>
          <w:sz w:val="24"/>
          <w:szCs w:val="24"/>
        </w:rPr>
        <w:t xml:space="preserve">日起至2025年</w:t>
      </w:r>
      <w:r>
        <w:rPr>
          <w:rFonts w:hint="eastAsia" w:ascii="宋体" w:hAnsi="宋体" w:eastAsia="宋体" w:cs="宋体"/>
          <w:sz w:val="24"/>
          <w:szCs w:val="24"/>
        </w:rPr>
        <w:t xml:space="preserve">1</w:t>
      </w:r>
      <w:r>
        <w:rPr>
          <w:rFonts w:hint="eastAsia" w:ascii="宋体" w:hAnsi="宋体" w:eastAsia="宋体" w:cs="宋体"/>
          <w:sz w:val="24"/>
          <w:szCs w:val="24"/>
        </w:rPr>
        <w:t xml:space="preserve">2</w:t>
      </w:r>
      <w:r>
        <w:rPr>
          <w:rFonts w:hint="eastAsia" w:ascii="宋体" w:hAnsi="宋体" w:eastAsia="宋体" w:cs="宋体"/>
          <w:sz w:val="24"/>
          <w:szCs w:val="24"/>
        </w:rPr>
        <w:t xml:space="preserve">月</w:t>
      </w:r>
      <w:r>
        <w:rPr>
          <w:rFonts w:hint="eastAsia" w:ascii="宋体" w:hAnsi="宋体" w:eastAsia="宋体" w:cs="宋体"/>
          <w:sz w:val="24"/>
          <w:szCs w:val="24"/>
        </w:rPr>
        <w:t xml:space="preserve">1日止，2025年</w:t>
      </w:r>
      <w:r>
        <w:rPr>
          <w:rFonts w:hint="eastAsia" w:ascii="宋体" w:hAnsi="宋体" w:eastAsia="宋体" w:cs="宋体"/>
          <w:sz w:val="24"/>
          <w:szCs w:val="24"/>
        </w:rPr>
        <w:t xml:space="preserve">1</w:t>
      </w:r>
      <w:r>
        <w:rPr>
          <w:rFonts w:hint="eastAsia" w:ascii="宋体" w:hAnsi="宋体" w:eastAsia="宋体" w:cs="宋体"/>
          <w:sz w:val="24"/>
          <w:szCs w:val="24"/>
        </w:rPr>
        <w:t xml:space="preserve">2</w:t>
      </w:r>
      <w:r>
        <w:rPr>
          <w:rFonts w:hint="eastAsia" w:ascii="宋体" w:hAnsi="宋体" w:eastAsia="宋体" w:cs="宋体"/>
          <w:sz w:val="24"/>
          <w:szCs w:val="24"/>
        </w:rPr>
        <w:t xml:space="preserve">月</w:t>
      </w:r>
      <w:r>
        <w:rPr>
          <w:rFonts w:hint="eastAsia" w:ascii="宋体" w:hAnsi="宋体" w:eastAsia="宋体" w:cs="宋体"/>
          <w:sz w:val="24"/>
          <w:szCs w:val="24"/>
        </w:rPr>
        <w:t xml:space="preserve">1日后仍可以下载招标文件，2025年</w:t>
      </w:r>
      <w:r>
        <w:rPr>
          <w:rFonts w:hint="eastAsia" w:ascii="宋体" w:hAnsi="宋体" w:eastAsia="宋体" w:cs="宋体"/>
          <w:sz w:val="24"/>
          <w:szCs w:val="24"/>
        </w:rPr>
        <w:t xml:space="preserve">1</w:t>
      </w:r>
      <w:r>
        <w:rPr>
          <w:rFonts w:hint="eastAsia" w:ascii="宋体" w:hAnsi="宋体" w:eastAsia="宋体" w:cs="宋体"/>
          <w:sz w:val="24"/>
          <w:szCs w:val="24"/>
        </w:rPr>
        <w:t xml:space="preserve">2</w:t>
      </w:r>
      <w:r>
        <w:rPr>
          <w:rFonts w:hint="eastAsia" w:ascii="宋体" w:hAnsi="宋体" w:eastAsia="宋体" w:cs="宋体"/>
          <w:sz w:val="24"/>
          <w:szCs w:val="24"/>
        </w:rPr>
        <w:t xml:space="preserve">月</w:t>
      </w:r>
      <w:r>
        <w:rPr>
          <w:rFonts w:hint="eastAsia" w:ascii="宋体" w:hAnsi="宋体" w:eastAsia="宋体" w:cs="宋体"/>
          <w:sz w:val="24"/>
          <w:szCs w:val="24"/>
        </w:rPr>
        <w:t xml:space="preserve">1日后下载的招标文件，超出有效报名时间且不作为供应商权益受到损害的证明材料和依据。</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2.地点：苏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3.获取方式：本项目采用网上注册登记方式。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3.1潜在供应商访问电子招标响应交易平台的网络地址和方法：</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”系统用户注册--获取“CA数字证书”--CA绑定与登录--网上报名--下载采购文件（后缀名为“.</w:t>
      </w:r>
      <w:r>
        <w:rPr>
          <w:rFonts w:hint="eastAsia" w:ascii="宋体" w:hAnsi="宋体" w:eastAsia="宋体" w:cs="宋体"/>
          <w:sz w:val="24"/>
          <w:szCs w:val="24"/>
        </w:rPr>
        <w:t xml:space="preserve">kedt</w:t>
      </w:r>
      <w:r>
        <w:rPr>
          <w:rFonts w:hint="eastAsia" w:ascii="宋体" w:hAnsi="宋体" w:eastAsia="宋体" w:cs="宋体"/>
          <w:sz w:val="24"/>
          <w:szCs w:val="24"/>
        </w:rPr>
        <w:t xml:space="preserve">”）--将后缀名为“.</w:t>
      </w:r>
      <w:r>
        <w:rPr>
          <w:rFonts w:hint="eastAsia" w:ascii="宋体" w:hAnsi="宋体" w:eastAsia="宋体" w:cs="宋体"/>
          <w:sz w:val="24"/>
          <w:szCs w:val="24"/>
        </w:rPr>
        <w:t xml:space="preserve">kedt</w:t>
      </w:r>
      <w:r>
        <w:rPr>
          <w:rFonts w:hint="eastAsia" w:ascii="宋体" w:hAnsi="宋体" w:eastAsia="宋体" w:cs="宋体"/>
          <w:sz w:val="24"/>
          <w:szCs w:val="24"/>
        </w:rPr>
        <w:t xml:space="preserve">”的采购文件导入政府采购客户端工具--制作响应文件--导出加密的响应文件（后缀名为zip）--通过“苏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”系统上传响应文件。具体见《江苏省政府采购管理交易系统（苏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）供应商操作手册》。</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3.2潜在供应商访问“苏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”系统的网络地址和方法：“苏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”系统的网址：http://jszfcg.jsczt.cn/。</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3.3“CA数字证书”的获取：</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响应供应商需办理“CA 数字证书”，CA办理指南及“苏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”操作手册可至江苏省政府采购网―办事指南-资料下载中心下载。</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系统首页（http://jszfcg.jscz.gov.cn/）的“苏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控件驱动下载”，选择“政务CA、方正签章控件驱动安装包及安装说明”下载安装，具体安装方法详见下载文件内的《安装说明》。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3.4采购文件（后缀名为“.</w:t>
      </w:r>
      <w:r>
        <w:rPr>
          <w:rFonts w:hint="eastAsia" w:ascii="宋体" w:hAnsi="宋体" w:eastAsia="宋体" w:cs="宋体"/>
          <w:sz w:val="24"/>
          <w:szCs w:val="24"/>
        </w:rPr>
        <w:t xml:space="preserve">kedt</w:t>
      </w:r>
      <w:r>
        <w:rPr>
          <w:rFonts w:hint="eastAsia" w:ascii="宋体" w:hAnsi="宋体" w:eastAsia="宋体" w:cs="宋体"/>
          <w:sz w:val="24"/>
          <w:szCs w:val="24"/>
        </w:rPr>
        <w:t xml:space="preserve">”）、供应商操作手册及政府采购客户端工具可通过“苏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”系统--已报名项目--报名详情页面内相应链接进行下载。</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3.5采购人或采购代理机构将数据电文形式的采购文件加载至“苏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”系统，供潜在供应商下载或者查阅。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3.6请潜在供应商提前安装相</w:t>
      </w:r>
      <w:r>
        <w:rPr>
          <w:rFonts w:hint="eastAsia" w:ascii="宋体" w:hAnsi="宋体" w:eastAsia="宋体" w:cs="宋体"/>
          <w:sz w:val="24"/>
          <w:szCs w:val="24"/>
        </w:rPr>
        <w:t xml:space="preserve">应的控件（详见《江苏省政府采购管理交易系统（苏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）供应商操作手册》）并</w:t>
      </w:r>
      <w:r>
        <w:rPr>
          <w:rFonts w:hint="eastAsia" w:ascii="宋体" w:hAnsi="宋体" w:eastAsia="宋体" w:cs="宋体"/>
          <w:sz w:val="24"/>
          <w:szCs w:val="24"/>
        </w:rPr>
        <w:t xml:space="preserve">使用谷歌浏览器</w:t>
      </w:r>
      <w:r>
        <w:rPr>
          <w:rFonts w:hint="eastAsia" w:ascii="宋体" w:hAnsi="宋体" w:eastAsia="宋体" w:cs="宋体"/>
          <w:sz w:val="24"/>
          <w:szCs w:val="24"/>
        </w:rPr>
        <w:t xml:space="preserve">登录“苏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”系统参与不见面开评标。</w:t>
      </w:r>
      <w:r/>
    </w:p>
    <w:p>
      <w:pPr>
        <w:spacing w:line="360" w:lineRule="auto"/>
        <w:shd w:val="clear" w:color="auto" w:fill="ffffff"/>
        <w:widowControl/>
        <w:rPr>
          <w:rFonts w:hint="eastAsia" w:ascii="宋体" w:hAnsi="宋体" w:eastAsia="宋体" w:cs="宋体"/>
          <w:sz w:val="24"/>
          <w:szCs w:val="24"/>
        </w:rPr>
        <w:outlineLvl w:val="1"/>
      </w:pPr>
      <w:r>
        <w:rPr>
          <w:rFonts w:hint="eastAsia" w:ascii="宋体" w:hAnsi="宋体" w:eastAsia="宋体" w:cs="宋体"/>
          <w:sz w:val="24"/>
          <w:szCs w:val="24"/>
        </w:rPr>
        <w:t xml:space="preserve">注：如潜在供应商未按上述要</w:t>
      </w:r>
      <w:r>
        <w:rPr>
          <w:rFonts w:hint="eastAsia" w:ascii="宋体" w:hAnsi="宋体" w:eastAsia="宋体" w:cs="宋体"/>
          <w:sz w:val="24"/>
          <w:szCs w:val="24"/>
        </w:rPr>
        <w:t xml:space="preserve">求操作，将自行承担所产生的风险。</w:t>
      </w:r>
      <w:r/>
    </w:p>
    <w:p>
      <w:pPr>
        <w:pStyle w:val="966"/>
        <w:spacing w:before="0" w:after="0" w:line="360" w:lineRule="auto"/>
        <w:rPr>
          <w:rFonts w:hint="eastAsia"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四、提交投标文件</w:t>
      </w:r>
      <w:bookmarkEnd w:id="19"/>
      <w:r/>
      <w:bookmarkEnd w:id="20"/>
      <w:r>
        <w:rPr>
          <w:rFonts w:hint="eastAsia" w:cs="仿宋" w:asciiTheme="minorEastAsia" w:hAnsiTheme="minorEastAsia" w:eastAsiaTheme="minorEastAsia"/>
          <w:bCs w:val="0"/>
          <w:color w:val="000000" w:themeColor="text1"/>
          <w:sz w:val="24"/>
          <w:szCs w:val="24"/>
        </w:rPr>
        <w:t xml:space="preserve">截止时间、开标时间和地点</w:t>
      </w:r>
      <w:bookmarkEnd w:id="21"/>
      <w:r/>
      <w:bookmarkEnd w:id="22"/>
      <w:r/>
      <w:r/>
    </w:p>
    <w:p>
      <w:pPr>
        <w:ind w:firstLine="12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时间：202</w:t>
      </w:r>
      <w:r>
        <w:rPr>
          <w:rFonts w:cs="仿宋" w:asciiTheme="minorEastAsia" w:hAnsiTheme="minorEastAsia" w:eastAsiaTheme="minorEastAsia"/>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1</w:t>
      </w:r>
      <w:r>
        <w:rPr>
          <w:rFonts w:hint="eastAsia" w:cs="仿宋" w:asciiTheme="minorEastAsia" w:hAnsiTheme="minorEastAsia" w:eastAsiaTheme="minorEastAsia"/>
          <w:color w:val="000000" w:themeColor="text1"/>
          <w:sz w:val="24"/>
          <w:szCs w:val="24"/>
        </w:rPr>
        <w:t xml:space="preserve">2</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16</w:t>
      </w:r>
      <w:r>
        <w:rPr>
          <w:rFonts w:hint="eastAsia" w:cs="仿宋" w:asciiTheme="minorEastAsia" w:hAnsiTheme="minorEastAsia" w:eastAsiaTheme="minorEastAsia"/>
          <w:color w:val="000000" w:themeColor="text1"/>
          <w:sz w:val="24"/>
          <w:szCs w:val="24"/>
        </w:rPr>
        <w:t xml:space="preserve">日</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rPr>
        <w:t xml:space="preserve">3</w:t>
      </w:r>
      <w:r>
        <w:rPr>
          <w:rFonts w:hint="eastAsia" w:cs="仿宋" w:asciiTheme="minorEastAsia" w:hAnsiTheme="minorEastAsia" w:eastAsiaTheme="minorEastAsia"/>
          <w:color w:val="000000" w:themeColor="text1"/>
          <w:sz w:val="24"/>
          <w:szCs w:val="24"/>
        </w:rPr>
        <w:t xml:space="preserve">0分（北京时间）</w:t>
      </w:r>
      <w:r/>
    </w:p>
    <w:p>
      <w:pPr>
        <w:ind w:firstLine="120"/>
        <w:spacing w:line="360" w:lineRule="auto"/>
        <w:rPr>
          <w:rFonts w:hint="eastAsia" w:ascii="宋体" w:hAnsi="宋体" w:eastAsia="宋体"/>
          <w:bCs/>
          <w:sz w:val="24"/>
          <w:szCs w:val="24"/>
        </w:rPr>
      </w:pPr>
      <w:r>
        <w:rPr>
          <w:rFonts w:hint="eastAsia" w:cs="仿宋" w:asciiTheme="minorEastAsia" w:hAnsiTheme="minorEastAsia" w:eastAsiaTheme="minorEastAsia"/>
          <w:color w:val="000000" w:themeColor="text1"/>
          <w:sz w:val="24"/>
          <w:szCs w:val="24"/>
        </w:rPr>
        <w:t xml:space="preserve">地点：</w:t>
      </w:r>
      <w:r>
        <w:rPr>
          <w:rFonts w:hint="eastAsia" w:cs="仿宋" w:asciiTheme="minorEastAsia" w:hAnsiTheme="minorEastAsia" w:eastAsiaTheme="minorEastAsia"/>
          <w:color w:val="000000" w:themeColor="text1"/>
          <w:sz w:val="24"/>
          <w:szCs w:val="24"/>
        </w:rPr>
        <w:t xml:space="preserve">江</w:t>
      </w:r>
      <w:r>
        <w:rPr>
          <w:rFonts w:hint="eastAsia" w:ascii="宋体" w:hAnsi="宋体" w:eastAsia="宋体"/>
          <w:bCs/>
          <w:sz w:val="24"/>
          <w:szCs w:val="24"/>
        </w:rPr>
        <w:t xml:space="preserve">江苏省政府采购交易系统（以下简称“苏</w:t>
      </w:r>
      <w:r>
        <w:rPr>
          <w:rFonts w:hint="eastAsia" w:ascii="宋体" w:hAnsi="宋体" w:eastAsia="宋体"/>
          <w:bCs/>
          <w:sz w:val="24"/>
          <w:szCs w:val="24"/>
        </w:rPr>
        <w:t xml:space="preserve">采云</w:t>
      </w:r>
      <w:r>
        <w:rPr>
          <w:rFonts w:hint="eastAsia" w:ascii="宋体" w:hAnsi="宋体" w:eastAsia="宋体"/>
          <w:bCs/>
          <w:sz w:val="24"/>
          <w:szCs w:val="24"/>
        </w:rPr>
        <w:t xml:space="preserve">系统”）网上开标大厅</w:t>
      </w:r>
      <w:r/>
    </w:p>
    <w:p>
      <w:pPr>
        <w:spacing w:line="360" w:lineRule="auto"/>
        <w:rPr>
          <w:rFonts w:hint="eastAsia" w:ascii="宋体" w:hAnsi="宋体" w:eastAsia="宋体"/>
          <w:bCs/>
          <w:sz w:val="24"/>
          <w:szCs w:val="24"/>
        </w:rPr>
      </w:pPr>
      <w:r>
        <w:rPr>
          <w:rFonts w:hint="eastAsia" w:ascii="宋体" w:hAnsi="宋体" w:eastAsia="宋体"/>
          <w:bCs/>
          <w:sz w:val="24"/>
          <w:szCs w:val="24"/>
        </w:rPr>
        <w:t xml:space="preserve">投标文件的解密：开标当天各</w:t>
      </w:r>
      <w:r>
        <w:rPr>
          <w:rFonts w:hint="eastAsia" w:ascii="宋体" w:hAnsi="宋体" w:eastAsia="宋体"/>
          <w:bCs/>
          <w:sz w:val="24"/>
          <w:szCs w:val="24"/>
        </w:rPr>
        <w:t xml:space="preserve">供应商及</w:t>
      </w:r>
      <w:r>
        <w:rPr>
          <w:rFonts w:hint="eastAsia" w:ascii="宋体" w:hAnsi="宋体" w:eastAsia="宋体"/>
          <w:bCs/>
          <w:sz w:val="24"/>
          <w:szCs w:val="24"/>
        </w:rPr>
        <w:t xml:space="preserve">时登录不见面开标大厅，投标文件递交截止时间后，采购人将在系统</w:t>
      </w:r>
      <w:r>
        <w:rPr>
          <w:rFonts w:hint="eastAsia" w:ascii="宋体" w:hAnsi="宋体" w:eastAsia="宋体"/>
          <w:bCs/>
          <w:sz w:val="24"/>
          <w:szCs w:val="24"/>
        </w:rPr>
        <w:t xml:space="preserve">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ascii="宋体" w:hAnsi="宋体" w:eastAsia="宋体"/>
          <w:bCs/>
          <w:sz w:val="24"/>
          <w:szCs w:val="24"/>
        </w:rPr>
        <w:t xml:space="preserve">锁发生</w:t>
      </w:r>
      <w:r>
        <w:rPr>
          <w:rFonts w:hint="eastAsia" w:ascii="宋体" w:hAnsi="宋体" w:eastAsia="宋体"/>
          <w:bCs/>
          <w:sz w:val="24"/>
          <w:szCs w:val="24"/>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966"/>
        <w:spacing w:before="0" w:after="0" w:line="360" w:lineRule="auto"/>
        <w:rPr>
          <w:rFonts w:hint="eastAsia" w:cs="仿宋" w:asciiTheme="minorEastAsia" w:hAnsiTheme="minorEastAsia" w:eastAsiaTheme="minorEastAsia"/>
          <w:bCs w:val="0"/>
          <w:color w:val="000000" w:themeColor="text1"/>
          <w:sz w:val="24"/>
          <w:szCs w:val="24"/>
        </w:rPr>
      </w:pPr>
      <w:r/>
      <w:bookmarkStart w:id="23" w:name="_Toc28359007"/>
      <w:r/>
      <w:bookmarkStart w:id="24" w:name="_Toc35393794"/>
      <w:r/>
      <w:bookmarkStart w:id="25" w:name="_Toc28359084"/>
      <w:r/>
      <w:bookmarkStart w:id="26" w:name="_Toc35393625"/>
      <w:r>
        <w:rPr>
          <w:rFonts w:hint="eastAsia" w:cs="仿宋" w:asciiTheme="minorEastAsia" w:hAnsiTheme="minorEastAsia" w:eastAsiaTheme="minorEastAsia"/>
          <w:bCs w:val="0"/>
          <w:color w:val="000000" w:themeColor="text1"/>
          <w:sz w:val="24"/>
          <w:szCs w:val="24"/>
        </w:rPr>
        <w:t xml:space="preserve">五、公告期限</w:t>
      </w:r>
      <w:bookmarkEnd w:id="23"/>
      <w:r/>
      <w:bookmarkEnd w:id="24"/>
      <w:r/>
      <w:bookmarkEnd w:id="25"/>
      <w:r/>
      <w:bookmarkEnd w:id="26"/>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自本公告发布之日起5个工作日。</w:t>
      </w:r>
      <w:r/>
    </w:p>
    <w:p>
      <w:pPr>
        <w:pStyle w:val="966"/>
        <w:spacing w:before="0" w:after="0" w:line="360" w:lineRule="auto"/>
        <w:rPr>
          <w:rFonts w:hint="eastAsia" w:cs="仿宋" w:asciiTheme="minorEastAsia" w:hAnsiTheme="minorEastAsia" w:eastAsiaTheme="minorEastAsia"/>
          <w:bCs w:val="0"/>
          <w:color w:val="000000" w:themeColor="text1"/>
          <w:sz w:val="24"/>
          <w:szCs w:val="24"/>
        </w:rPr>
      </w:pPr>
      <w:r/>
      <w:bookmarkStart w:id="27" w:name="_Toc35393795"/>
      <w:r/>
      <w:bookmarkStart w:id="28" w:name="_Toc35393626"/>
      <w:r>
        <w:rPr>
          <w:rFonts w:hint="eastAsia" w:cs="仿宋" w:asciiTheme="minorEastAsia" w:hAnsiTheme="minorEastAsia" w:eastAsiaTheme="minorEastAsia"/>
          <w:bCs w:val="0"/>
          <w:color w:val="000000" w:themeColor="text1"/>
          <w:sz w:val="24"/>
          <w:szCs w:val="24"/>
        </w:rPr>
        <w:t xml:space="preserve">六、其他补充事宜</w:t>
      </w:r>
      <w:bookmarkEnd w:id="27"/>
      <w:r/>
      <w:bookmarkEnd w:id="28"/>
      <w:r/>
      <w:r/>
    </w:p>
    <w:p>
      <w:pPr>
        <w:ind w:firstLine="480"/>
        <w:spacing w:line="360" w:lineRule="auto"/>
        <w:rPr>
          <w:rFonts w:hint="eastAsia" w:ascii="宋体" w:hAnsi="宋体" w:eastAsia="宋体"/>
          <w:bCs/>
          <w:sz w:val="24"/>
          <w:szCs w:val="24"/>
        </w:rPr>
      </w:pPr>
      <w:r/>
      <w:bookmarkStart w:id="29" w:name="_Toc35393796"/>
      <w:r/>
      <w:bookmarkStart w:id="30" w:name="_Toc35393627"/>
      <w:r/>
      <w:bookmarkStart w:id="31" w:name="_Toc28359008"/>
      <w:r/>
      <w:bookmarkStart w:id="32" w:name="_Toc28359085"/>
      <w:r>
        <w:rPr>
          <w:rFonts w:hint="eastAsia" w:ascii="宋体" w:hAnsi="宋体" w:eastAsia="宋体"/>
          <w:bCs/>
          <w:sz w:val="24"/>
          <w:szCs w:val="24"/>
        </w:rPr>
        <w:t xml:space="preserve">1、本项目不收取</w:t>
      </w:r>
      <w:r>
        <w:rPr>
          <w:rFonts w:ascii="宋体" w:hAnsi="宋体" w:eastAsia="宋体"/>
          <w:bCs/>
          <w:sz w:val="24"/>
          <w:szCs w:val="24"/>
        </w:rPr>
        <w:t xml:space="preserve">投标</w:t>
      </w:r>
      <w:r>
        <w:rPr>
          <w:rFonts w:hint="eastAsia" w:ascii="宋体" w:hAnsi="宋体" w:eastAsia="宋体"/>
          <w:bCs/>
          <w:sz w:val="24"/>
          <w:szCs w:val="24"/>
        </w:rPr>
        <w:t xml:space="preserve">保证金</w:t>
      </w:r>
      <w:r>
        <w:rPr>
          <w:rFonts w:ascii="宋体" w:hAnsi="宋体" w:eastAsia="宋体"/>
          <w:bCs/>
          <w:sz w:val="24"/>
          <w:szCs w:val="24"/>
        </w:rPr>
        <w:t xml:space="preserve">；</w:t>
      </w:r>
      <w:r/>
    </w:p>
    <w:p>
      <w:pPr>
        <w:ind w:firstLine="480"/>
        <w:spacing w:line="360" w:lineRule="auto"/>
        <w:rPr>
          <w:rFonts w:hint="eastAsia" w:ascii="宋体" w:hAnsi="宋体" w:eastAsia="宋体" w:cs="宋体"/>
          <w:bCs/>
          <w:sz w:val="24"/>
          <w:szCs w:val="24"/>
        </w:rPr>
      </w:pPr>
      <w:r>
        <w:rPr>
          <w:rFonts w:ascii="宋体" w:hAnsi="宋体" w:eastAsia="宋体"/>
          <w:bCs/>
          <w:sz w:val="24"/>
          <w:szCs w:val="24"/>
        </w:rPr>
        <w:t xml:space="preserve">2</w:t>
      </w:r>
      <w:r>
        <w:rPr>
          <w:rFonts w:hint="eastAsia" w:ascii="宋体" w:hAnsi="宋体" w:eastAsia="宋体"/>
          <w:bCs/>
          <w:sz w:val="24"/>
          <w:szCs w:val="24"/>
        </w:rPr>
        <w:t xml:space="preserve">、</w:t>
      </w:r>
      <w:bookmarkStart w:id="33" w:name="_Hlk142317669"/>
      <w:r>
        <w:rPr>
          <w:rFonts w:hint="eastAsia" w:ascii="宋体" w:hAnsi="宋体" w:eastAsia="宋体" w:cs="宋体"/>
          <w:bCs/>
          <w:sz w:val="24"/>
          <w:szCs w:val="24"/>
        </w:rPr>
        <w:t xml:space="preserve">本项目支持</w:t>
      </w:r>
      <w:bookmarkEnd w:id="33"/>
      <w:r>
        <w:rPr>
          <w:rFonts w:hint="eastAsia" w:ascii="宋体" w:hAnsi="宋体" w:eastAsia="宋体" w:cs="宋体"/>
          <w:bCs/>
          <w:sz w:val="24"/>
          <w:szCs w:val="24"/>
        </w:rPr>
        <w:t xml:space="preserve">1）.小</w:t>
      </w:r>
      <w:r>
        <w:rPr>
          <w:rFonts w:hint="eastAsia" w:ascii="宋体" w:hAnsi="宋体" w:eastAsia="宋体" w:cs="宋体"/>
          <w:bCs/>
          <w:sz w:val="24"/>
          <w:szCs w:val="24"/>
        </w:rPr>
        <w:t xml:space="preserve">微企业</w:t>
      </w:r>
      <w:r>
        <w:rPr>
          <w:rFonts w:hint="eastAsia" w:ascii="宋体" w:hAnsi="宋体" w:eastAsia="宋体" w:cs="宋体"/>
          <w:bCs/>
          <w:sz w:val="24"/>
          <w:szCs w:val="24"/>
        </w:rPr>
        <w:t xml:space="preserve">价格扣除《江苏省财政厅关于进一步加大政府采购支持中小企业力度的通知》（</w:t>
      </w:r>
      <w:r>
        <w:rPr>
          <w:rFonts w:hint="eastAsia" w:ascii="宋体" w:hAnsi="宋体" w:eastAsia="宋体" w:cs="宋体"/>
          <w:bCs/>
          <w:sz w:val="24"/>
          <w:szCs w:val="24"/>
        </w:rPr>
        <w:t xml:space="preserve">苏财购〔2022〕</w:t>
      </w:r>
      <w:r>
        <w:rPr>
          <w:rFonts w:hint="eastAsia" w:ascii="宋体" w:hAnsi="宋体" w:eastAsia="宋体" w:cs="宋体"/>
          <w:bCs/>
          <w:sz w:val="24"/>
          <w:szCs w:val="24"/>
        </w:rPr>
        <w:t xml:space="preserve">45号）2）.节能、环保产</w:t>
      </w:r>
      <w:r>
        <w:rPr>
          <w:rFonts w:hint="eastAsia" w:ascii="宋体" w:hAnsi="宋体" w:eastAsia="宋体" w:cs="宋体"/>
          <w:bCs/>
          <w:sz w:val="24"/>
          <w:szCs w:val="24"/>
        </w:rPr>
        <w:t xml:space="preserve">品政策《江苏省财政厅关于加强政府绿色采购有关事项的通知》（</w:t>
      </w:r>
      <w:r>
        <w:rPr>
          <w:rFonts w:hint="eastAsia" w:ascii="宋体" w:hAnsi="宋体" w:eastAsia="宋体" w:cs="宋体"/>
          <w:bCs/>
          <w:sz w:val="24"/>
          <w:szCs w:val="24"/>
        </w:rPr>
        <w:t xml:space="preserve">苏财购〔2023〕</w:t>
      </w:r>
      <w:r>
        <w:rPr>
          <w:rFonts w:hint="eastAsia" w:ascii="宋体" w:hAnsi="宋体" w:eastAsia="宋体" w:cs="宋体"/>
          <w:bCs/>
          <w:sz w:val="24"/>
          <w:szCs w:val="24"/>
        </w:rPr>
        <w:t xml:space="preserve">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w:t>
      </w:r>
      <w:r>
        <w:rPr>
          <w:rFonts w:hint="eastAsia" w:ascii="宋体" w:hAnsi="宋体" w:eastAsia="宋体" w:cs="宋体"/>
          <w:bCs/>
          <w:sz w:val="24"/>
          <w:szCs w:val="24"/>
        </w:rPr>
        <w:t xml:space="preserve">苏财购〔2023〕</w:t>
      </w:r>
      <w:r>
        <w:rPr>
          <w:rFonts w:hint="eastAsia" w:ascii="宋体" w:hAnsi="宋体" w:eastAsia="宋体" w:cs="宋体"/>
          <w:bCs/>
          <w:sz w:val="24"/>
          <w:szCs w:val="24"/>
        </w:rPr>
        <w:t xml:space="preserve">150 号）等政策。</w:t>
      </w:r>
      <w:r/>
    </w:p>
    <w:p>
      <w:pPr>
        <w:spacing w:line="360" w:lineRule="auto"/>
        <w:rPr>
          <w:rFonts w:hint="eastAsia" w:ascii="宋体" w:hAnsi="宋体" w:eastAsia="宋体"/>
          <w:position w:val="-10"/>
          <w:sz w:val="24"/>
          <w:szCs w:val="24"/>
        </w:rPr>
      </w:pPr>
      <w:r>
        <w:rPr>
          <w:rFonts w:hint="eastAsia" w:ascii="宋体" w:hAnsi="宋体" w:eastAsia="宋体"/>
          <w:b/>
          <w:position w:val="-10"/>
          <w:sz w:val="28"/>
          <w:szCs w:val="28"/>
        </w:rPr>
        <w:t xml:space="preserve"> </w:t>
      </w:r>
      <w:r>
        <w:rPr>
          <w:rFonts w:hint="eastAsia" w:ascii="宋体" w:hAnsi="宋体" w:eastAsia="宋体"/>
          <w:position w:val="-10"/>
          <w:sz w:val="24"/>
          <w:szCs w:val="24"/>
        </w:rPr>
        <w:t xml:space="preserve">  3、本项目不</w:t>
      </w:r>
      <w:r>
        <w:rPr>
          <w:rFonts w:hint="eastAsia" w:ascii="宋体" w:hAnsi="宋体" w:eastAsia="宋体"/>
          <w:position w:val="-10"/>
          <w:sz w:val="24"/>
          <w:szCs w:val="24"/>
        </w:rPr>
        <w:t xml:space="preserve">属于专门面向中小企业采购的项目</w:t>
      </w:r>
      <w:r/>
    </w:p>
    <w:p>
      <w:pPr>
        <w:pStyle w:val="966"/>
        <w:spacing w:before="0" w:after="0"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七、对本次招标提出询问，请按以下方式联系。</w:t>
      </w:r>
      <w:bookmarkEnd w:id="29"/>
      <w:r/>
      <w:bookmarkEnd w:id="30"/>
      <w:r/>
      <w:bookmarkEnd w:id="31"/>
      <w:r/>
      <w:bookmarkEnd w:id="32"/>
      <w:r/>
      <w:r/>
    </w:p>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1.采购人信息</w:t>
      </w:r>
      <w:r/>
    </w:p>
    <w:p>
      <w:pPr>
        <w:ind w:firstLine="480"/>
        <w:jc w:val="left"/>
        <w:spacing w:line="360" w:lineRule="auto"/>
        <w:rPr>
          <w:rFonts w:hint="eastAsia" w:cs="仿宋" w:asciiTheme="minorEastAsia" w:hAnsiTheme="minorEastAsia" w:eastAsiaTheme="minorEastAsia"/>
          <w:color w:val="000000" w:themeColor="text1"/>
          <w:sz w:val="24"/>
          <w:szCs w:val="24"/>
        </w:rPr>
      </w:pPr>
      <w:r/>
      <w:bookmarkStart w:id="34" w:name="_Toc28359086"/>
      <w:r/>
      <w:bookmarkStart w:id="35" w:name="_Toc28359009"/>
      <w:r>
        <w:rPr>
          <w:rFonts w:hint="eastAsia" w:cs="仿宋" w:asciiTheme="minorEastAsia" w:hAnsiTheme="minorEastAsia" w:eastAsiaTheme="minorEastAsia"/>
          <w:color w:val="000000" w:themeColor="text1"/>
          <w:sz w:val="24"/>
          <w:szCs w:val="24"/>
        </w:rPr>
        <w:t xml:space="preserve">名 称：</w:t>
      </w:r>
      <w:r>
        <w:rPr>
          <w:rFonts w:hint="eastAsia" w:cs="仿宋" w:asciiTheme="minorEastAsia" w:hAnsiTheme="minorEastAsia" w:eastAsiaTheme="minorEastAsia"/>
          <w:color w:val="000000" w:themeColor="text1"/>
          <w:sz w:val="24"/>
          <w:szCs w:val="24"/>
        </w:rPr>
        <w:t xml:space="preserve">泰州市姜堰区</w:t>
      </w:r>
      <w:r>
        <w:rPr>
          <w:rFonts w:hint="eastAsia" w:cs="仿宋" w:asciiTheme="minorEastAsia" w:hAnsiTheme="minorEastAsia" w:eastAsiaTheme="minorEastAsia"/>
          <w:color w:val="000000" w:themeColor="text1"/>
          <w:sz w:val="24"/>
          <w:szCs w:val="24"/>
        </w:rPr>
        <w:t xml:space="preserve">大伦镇卫生院</w:t>
      </w:r>
      <w:r>
        <w:rPr>
          <w:rFonts w:hint="eastAsia" w:cs="仿宋" w:asciiTheme="minorEastAsia" w:hAnsiTheme="minorEastAsia" w:eastAsiaTheme="minorEastAsia"/>
          <w:color w:val="000000" w:themeColor="text1"/>
          <w:sz w:val="24"/>
          <w:szCs w:val="24"/>
        </w:rPr>
        <w:t xml:space="preserve">　</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地址：</w:t>
      </w:r>
      <w:r>
        <w:rPr>
          <w:rFonts w:hint="eastAsia" w:cs="仿宋" w:asciiTheme="minorEastAsia" w:hAnsiTheme="minorEastAsia" w:eastAsiaTheme="minorEastAsia"/>
          <w:color w:val="000000" w:themeColor="text1"/>
          <w:sz w:val="24"/>
          <w:szCs w:val="24"/>
        </w:rPr>
        <w:t xml:space="preserve">江苏省泰州市姜堰区大伦村文化路</w:t>
      </w:r>
      <w:r>
        <w:rPr>
          <w:rFonts w:hint="eastAsia" w:cs="仿宋" w:asciiTheme="minorEastAsia" w:hAnsiTheme="minorEastAsia" w:eastAsiaTheme="minorEastAsia"/>
          <w:color w:val="000000" w:themeColor="text1"/>
          <w:sz w:val="24"/>
          <w:szCs w:val="24"/>
        </w:rPr>
        <w:t xml:space="preserve"> </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联系人：许先生</w:t>
      </w:r>
      <w:r>
        <w:rPr>
          <w:rFonts w:cs="仿宋" w:asciiTheme="minorEastAsia" w:hAnsiTheme="minorEastAsia" w:eastAsiaTheme="minorEastAsia"/>
          <w:color w:val="000000" w:themeColor="text1"/>
          <w:sz w:val="24"/>
          <w:szCs w:val="24"/>
        </w:rPr>
        <w:t xml:space="preserve">     </w:t>
      </w:r>
      <w:r>
        <w:rPr>
          <w:rFonts w:hint="eastAsia" w:cs="仿宋" w:asciiTheme="minorEastAsia" w:hAnsiTheme="minorEastAsia" w:eastAsiaTheme="minorEastAsia"/>
          <w:color w:val="000000" w:themeColor="text1"/>
          <w:sz w:val="24"/>
          <w:szCs w:val="24"/>
        </w:rPr>
        <w:t xml:space="preserve">电话：</w:t>
      </w:r>
      <w:r>
        <w:rPr>
          <w:rFonts w:cs="仿宋" w:asciiTheme="minorEastAsia" w:hAnsiTheme="minorEastAsia" w:eastAsiaTheme="minorEastAsia"/>
          <w:color w:val="000000" w:themeColor="text1"/>
          <w:sz w:val="24"/>
          <w:szCs w:val="24"/>
        </w:rPr>
        <w:t xml:space="preserve">13775676239 </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2.采购代理机构信息</w:t>
      </w:r>
      <w:bookmarkEnd w:id="34"/>
      <w:r/>
      <w:bookmarkEnd w:id="35"/>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名 称：江苏海外集团国际工程咨询有限公司</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　址：南京市建</w:t>
      </w:r>
      <w:r>
        <w:rPr>
          <w:rFonts w:hint="eastAsia" w:cs="仿宋" w:asciiTheme="minorEastAsia" w:hAnsiTheme="minorEastAsia" w:eastAsiaTheme="minorEastAsia"/>
          <w:color w:val="000000" w:themeColor="text1"/>
          <w:sz w:val="24"/>
          <w:szCs w:val="24"/>
        </w:rPr>
        <w:t xml:space="preserve">邺</w:t>
      </w:r>
      <w:r>
        <w:rPr>
          <w:rFonts w:hint="eastAsia" w:cs="仿宋" w:asciiTheme="minorEastAsia" w:hAnsiTheme="minorEastAsia" w:eastAsiaTheme="minorEastAsia"/>
          <w:color w:val="000000" w:themeColor="text1"/>
          <w:sz w:val="24"/>
          <w:szCs w:val="24"/>
        </w:rPr>
        <w:t xml:space="preserve">区云龙山路56号大唐科技大厦A座高区15楼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联系方式：</w:t>
      </w:r>
      <w:bookmarkStart w:id="36" w:name="_Toc28359087"/>
      <w:r/>
      <w:bookmarkStart w:id="37" w:name="_Toc28359010"/>
      <w:r>
        <w:rPr>
          <w:rFonts w:cs="仿宋" w:asciiTheme="minorEastAsia" w:hAnsiTheme="minorEastAsia" w:eastAsiaTheme="minorEastAsia"/>
          <w:color w:val="000000" w:themeColor="text1"/>
          <w:sz w:val="24"/>
          <w:szCs w:val="24"/>
        </w:rPr>
        <w:t xml:space="preserve">025-84795469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3.项目联系方式</w:t>
      </w:r>
      <w:bookmarkEnd w:id="36"/>
      <w:r/>
      <w:bookmarkEnd w:id="37"/>
      <w:r/>
      <w:r/>
    </w:p>
    <w:p>
      <w:pPr>
        <w:pStyle w:val="968"/>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项目联系人：马先生、徐先生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电　话：1</w:t>
      </w:r>
      <w:r>
        <w:rPr>
          <w:rFonts w:cs="仿宋" w:asciiTheme="minorEastAsia" w:hAnsiTheme="minorEastAsia" w:eastAsiaTheme="minorEastAsia"/>
          <w:color w:val="000000" w:themeColor="text1"/>
          <w:sz w:val="24"/>
          <w:szCs w:val="24"/>
        </w:rPr>
        <w:t xml:space="preserve">8905161867</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8351006888</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 项目公平竞争审查工作联系方式</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项目联系人</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浦</w:t>
      </w:r>
      <w:r>
        <w:rPr>
          <w:rFonts w:cs="仿宋" w:asciiTheme="minorEastAsia" w:hAnsiTheme="minorEastAsia" w:eastAsiaTheme="minorEastAsia"/>
          <w:color w:val="000000" w:themeColor="text1"/>
          <w:sz w:val="24"/>
          <w:szCs w:val="24"/>
        </w:rPr>
        <w:t xml:space="preserve"> </w:t>
      </w:r>
      <w:r>
        <w:rPr>
          <w:rFonts w:hint="eastAsia" w:cs="仿宋" w:asciiTheme="minorEastAsia" w:hAnsiTheme="minorEastAsia" w:eastAsiaTheme="minorEastAsia"/>
          <w:color w:val="000000" w:themeColor="text1"/>
          <w:sz w:val="24"/>
          <w:szCs w:val="24"/>
        </w:rPr>
        <w:t xml:space="preserve">戴</w:t>
      </w:r>
      <w:r>
        <w:rPr>
          <w:rFonts w:cs="仿宋" w:asciiTheme="minorEastAsia" w:hAnsiTheme="minorEastAsia" w:eastAsiaTheme="minorEastAsia"/>
          <w:color w:val="000000" w:themeColor="text1"/>
          <w:sz w:val="24"/>
          <w:szCs w:val="24"/>
        </w:rPr>
        <w:t xml:space="preserve"> </w:t>
      </w:r>
      <w:r>
        <w:rPr>
          <w:rFonts w:hint="eastAsia" w:cs="仿宋" w:asciiTheme="minorEastAsia" w:hAnsiTheme="minorEastAsia" w:eastAsiaTheme="minorEastAsia"/>
          <w:color w:val="000000" w:themeColor="text1"/>
          <w:sz w:val="24"/>
          <w:szCs w:val="24"/>
        </w:rPr>
        <w:t xml:space="preserve">荟</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联系方式</w:t>
      </w:r>
      <w:r>
        <w:rPr>
          <w:rFonts w:cs="仿宋" w:asciiTheme="minorEastAsia" w:hAnsiTheme="minorEastAsia" w:eastAsiaTheme="minorEastAsia"/>
          <w:color w:val="000000" w:themeColor="text1"/>
          <w:sz w:val="24"/>
          <w:szCs w:val="24"/>
        </w:rPr>
        <w:t xml:space="preserve">:0523-80575139</w:t>
      </w:r>
      <w:r/>
    </w:p>
    <w:p>
      <w:pPr>
        <w:ind w:right="840" w:firstLine="530"/>
        <w:jc w:val="center"/>
        <w:spacing w:line="360" w:lineRule="auto"/>
        <w:widowControl/>
        <w:rPr>
          <w:rFonts w:hint="eastAsia" w:cs="仿宋" w:asciiTheme="minorEastAsia" w:hAnsiTheme="minorEastAsia" w:eastAsiaTheme="minorEastAsia"/>
          <w:b/>
          <w:color w:val="000000" w:themeColor="text1"/>
          <w:szCs w:val="22"/>
        </w:rPr>
      </w:pPr>
      <w:r>
        <w:rPr>
          <w:rFonts w:hint="eastAsia" w:cs="仿宋" w:asciiTheme="minorEastAsia" w:hAnsiTheme="minorEastAsia" w:eastAsiaTheme="minorEastAsia"/>
          <w:b/>
          <w:color w:val="000000" w:themeColor="text1"/>
          <w:szCs w:val="22"/>
        </w:rPr>
      </w:r>
      <w:r/>
    </w:p>
    <w:p>
      <w:pPr>
        <w:jc w:val="center"/>
        <w:spacing w:line="500" w:lineRule="exact"/>
        <w:widowControl/>
        <w:rPr>
          <w:rFonts w:hint="eastAsia"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br w:type="page" w:clear="all"/>
      </w:r>
      <w:r/>
    </w:p>
    <w:p>
      <w:pPr>
        <w:jc w:val="center"/>
        <w:spacing w:line="500" w:lineRule="exact"/>
        <w:widowControl/>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第二章 投标人须知</w:t>
      </w:r>
      <w:bookmarkEnd w:id="0"/>
      <w:r/>
      <w:bookmarkEnd w:id="1"/>
      <w:r/>
      <w:r/>
    </w:p>
    <w:p>
      <w:pPr>
        <w:jc w:val="center"/>
        <w:spacing w:line="500" w:lineRule="exact"/>
        <w:widowControl/>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    投标人须知前附表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8"/>
        <w:gridCol w:w="1494"/>
        <w:gridCol w:w="6249"/>
      </w:tblGrid>
      <w:tr>
        <w:trPr>
          <w:jc w:val="center"/>
          <w:trHeight w:val="558"/>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w:t>
            </w:r>
            <w:r/>
          </w:p>
        </w:tc>
        <w:tc>
          <w:tcPr>
            <w:tcW w:w="6249"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内容</w:t>
            </w:r>
            <w:r/>
          </w:p>
        </w:tc>
      </w:tr>
      <w:tr>
        <w:trPr>
          <w:jc w:val="center"/>
          <w:trHeight w:val="557"/>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便携式B超、糖筛工作站相关设备</w:t>
            </w:r>
            <w:r/>
          </w:p>
        </w:tc>
      </w:tr>
      <w:tr>
        <w:trPr>
          <w:jc w:val="center"/>
          <w:trHeight w:val="543"/>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招标内容</w:t>
            </w:r>
            <w:r/>
          </w:p>
        </w:tc>
        <w:tc>
          <w:tcPr>
            <w:tcW w:w="6249" w:type="dxa"/>
            <w:vAlign w:val="center"/>
            <w:textDirection w:val="lrTb"/>
            <w:noWrap w:val="false"/>
          </w:tcPr>
          <w:p>
            <w:pPr>
              <w:rPr>
                <w:rFonts w:hint="eastAsia"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 w:val="24"/>
                <w:szCs w:val="24"/>
              </w:rPr>
              <w:t xml:space="preserve">详见第三章采购需求</w:t>
            </w:r>
            <w:r/>
          </w:p>
        </w:tc>
      </w:tr>
      <w:tr>
        <w:trPr>
          <w:jc w:val="center"/>
          <w:trHeight w:val="744"/>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供货期及供货地点</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交货期：合同签订后一个月内 </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最高投标限价</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预算金额：</w:t>
            </w:r>
            <w:r>
              <w:rPr>
                <w:rFonts w:hint="eastAsia" w:cs="仿宋" w:asciiTheme="minorEastAsia" w:hAnsiTheme="minorEastAsia" w:eastAsiaTheme="minorEastAsia"/>
                <w:iCs/>
                <w:color w:val="000000" w:themeColor="text1"/>
                <w:sz w:val="24"/>
                <w:szCs w:val="24"/>
              </w:rPr>
              <w:t xml:space="preserve">66</w:t>
            </w:r>
            <w:r>
              <w:rPr>
                <w:rFonts w:hint="eastAsia" w:cs="仿宋" w:asciiTheme="minorEastAsia" w:hAnsiTheme="minorEastAsia" w:eastAsiaTheme="minorEastAsia"/>
                <w:color w:val="000000" w:themeColor="text1"/>
                <w:sz w:val="24"/>
                <w:szCs w:val="24"/>
              </w:rPr>
              <w:t xml:space="preserve">万元</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最高限价：</w:t>
            </w:r>
            <w:r>
              <w:rPr>
                <w:rFonts w:hint="eastAsia" w:cs="仿宋" w:asciiTheme="minorEastAsia" w:hAnsiTheme="minorEastAsia" w:eastAsiaTheme="minorEastAsia"/>
                <w:iCs/>
                <w:color w:val="000000" w:themeColor="text1"/>
                <w:sz w:val="24"/>
                <w:szCs w:val="24"/>
              </w:rPr>
              <w:t xml:space="preserve">54.4</w:t>
            </w:r>
            <w:r>
              <w:rPr>
                <w:rFonts w:hint="eastAsia" w:cs="仿宋" w:asciiTheme="minorEastAsia" w:hAnsiTheme="minorEastAsia" w:eastAsiaTheme="minorEastAsia"/>
                <w:color w:val="000000" w:themeColor="text1"/>
                <w:sz w:val="24"/>
                <w:szCs w:val="24"/>
              </w:rPr>
              <w:t xml:space="preserve">万元</w:t>
            </w:r>
            <w:r/>
          </w:p>
          <w:p>
            <w:pPr>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投标单位报价不得高于最高限价且投标单价不得高于清单单价，否则视为无效投标文件。</w:t>
            </w:r>
            <w:r/>
          </w:p>
        </w:tc>
      </w:tr>
      <w:tr>
        <w:trPr>
          <w:jc w:val="center"/>
          <w:trHeight w:val="67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合格投标人资格要求</w:t>
            </w:r>
            <w:r/>
          </w:p>
        </w:tc>
        <w:tc>
          <w:tcPr>
            <w:tcW w:w="6249" w:type="dxa"/>
            <w:vAlign w:val="center"/>
            <w:textDirection w:val="lrTb"/>
            <w:noWrap w:val="false"/>
          </w:tcPr>
          <w:p>
            <w:pPr>
              <w:jc w:val="left"/>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详见招标公告</w:t>
            </w:r>
            <w:r/>
          </w:p>
        </w:tc>
      </w:tr>
      <w:tr>
        <w:trPr>
          <w:jc w:val="center"/>
          <w:trHeight w:val="834"/>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联合体投标</w:t>
            </w:r>
            <w:r/>
          </w:p>
        </w:tc>
        <w:tc>
          <w:tcPr>
            <w:tcW w:w="6249" w:type="dxa"/>
            <w:vAlign w:val="center"/>
            <w:textDirection w:val="lrTb"/>
            <w:noWrap w:val="false"/>
          </w:tcPr>
          <w:p>
            <w:pPr>
              <w:rPr>
                <w:rFonts w:hint="eastAsia"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823"/>
              <w:numPr>
                <w:ilvl w:val="0"/>
                <w:numId w:val="1"/>
              </w:numPr>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接受</w:t>
            </w:r>
            <w:r/>
          </w:p>
        </w:tc>
      </w:tr>
      <w:tr>
        <w:trPr>
          <w:jc w:val="center"/>
          <w:trHeight w:val="1385"/>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现场勘察</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不组织，自行勘察;如投标人需自行勘察,费用自理。</w:t>
            </w:r>
            <w:r/>
          </w:p>
          <w:p>
            <w:pPr>
              <w:pStyle w:val="823"/>
              <w:numPr>
                <w:ilvl w:val="0"/>
                <w:numId w:val="1"/>
              </w:num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组织，勘察时间： 年月日时</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集合地点：</w:t>
            </w:r>
            <w:r/>
          </w:p>
          <w:p>
            <w:pPr>
              <w:ind w:firstLine="975"/>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tc>
      </w:tr>
      <w:tr>
        <w:trPr>
          <w:jc w:val="center"/>
          <w:trHeight w:val="1067"/>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投标答疑会</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不召开</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口召开，召开时间：年月日时</w:t>
            </w:r>
            <w:r/>
          </w:p>
          <w:p>
            <w:pPr>
              <w:ind w:firstLine="975"/>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召开地点：</w:t>
            </w:r>
            <w:r/>
          </w:p>
        </w:tc>
      </w:tr>
      <w:tr>
        <w:trPr>
          <w:jc w:val="center"/>
          <w:trHeight w:val="420"/>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人民币</w:t>
            </w:r>
            <w:r/>
          </w:p>
        </w:tc>
      </w:tr>
      <w:tr>
        <w:trPr>
          <w:jc w:val="center"/>
          <w:trHeight w:val="768"/>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核心产品</w:t>
            </w:r>
            <w:r/>
          </w:p>
        </w:tc>
        <w:tc>
          <w:tcPr>
            <w:tcW w:w="6249" w:type="dxa"/>
            <w:vAlign w:val="center"/>
            <w:textDirection w:val="lrTb"/>
            <w:noWrap w:val="false"/>
          </w:tcPr>
          <w:p>
            <w:pPr>
              <w:jc w:val="lef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不适用</w:t>
            </w:r>
            <w:r/>
          </w:p>
        </w:tc>
      </w:tr>
      <w:tr>
        <w:trPr>
          <w:jc w:val="center"/>
          <w:trHeight w:val="604"/>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投标保证金</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本项目不收取投标保证金。</w:t>
            </w:r>
            <w:r/>
          </w:p>
        </w:tc>
      </w:tr>
      <w:tr>
        <w:trPr>
          <w:jc w:val="center"/>
          <w:trHeight w:val="429"/>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投标文件有效期</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9</w:t>
            </w:r>
            <w:r>
              <w:rPr>
                <w:rFonts w:hint="eastAsia" w:cs="仿宋" w:asciiTheme="minorEastAsia" w:hAnsiTheme="minorEastAsia" w:eastAsiaTheme="minorEastAsia"/>
                <w:color w:val="000000" w:themeColor="text1"/>
                <w:sz w:val="24"/>
                <w:szCs w:val="24"/>
                <w:u w:val="single"/>
              </w:rPr>
              <w:t xml:space="preserve">0 </w:t>
            </w:r>
            <w:r>
              <w:rPr>
                <w:rFonts w:hint="eastAsia" w:cs="仿宋" w:asciiTheme="minorEastAsia" w:hAnsiTheme="minorEastAsia" w:eastAsiaTheme="minorEastAsia"/>
                <w:color w:val="000000" w:themeColor="text1"/>
                <w:sz w:val="24"/>
                <w:szCs w:val="24"/>
              </w:rPr>
              <w:t xml:space="preserve">日历天（从投标截止之日算起）</w:t>
            </w:r>
            <w:r/>
          </w:p>
        </w:tc>
      </w:tr>
      <w:tr>
        <w:trPr>
          <w:cantSplit/>
          <w:jc w:val="center"/>
          <w:trHeight w:val="406"/>
        </w:trPr>
        <w:tc>
          <w:tcPr>
            <w:tcW w:w="768" w:type="dxa"/>
            <w:vAlign w:val="center"/>
            <w:vMerge w:val="restart"/>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投标截止时间</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w:t>
            </w:r>
            <w:r>
              <w:rPr>
                <w:rFonts w:cs="仿宋" w:asciiTheme="minorEastAsia" w:hAnsiTheme="minorEastAsia" w:eastAsiaTheme="minorEastAsia"/>
                <w:color w:val="000000" w:themeColor="text1"/>
                <w:sz w:val="24"/>
                <w:szCs w:val="24"/>
                <w:u w:val="single"/>
              </w:rPr>
              <w:t xml:space="preserve">5</w:t>
            </w:r>
            <w:r>
              <w:rPr>
                <w:rFonts w:hint="eastAsia"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1</w:t>
            </w:r>
            <w:r>
              <w:rPr>
                <w:rFonts w:hint="eastAsia" w:cs="仿宋" w:asciiTheme="minorEastAsia" w:hAnsiTheme="minorEastAsia" w:eastAsiaTheme="minorEastAsia"/>
                <w:color w:val="000000" w:themeColor="text1"/>
                <w:sz w:val="24"/>
                <w:szCs w:val="24"/>
              </w:rPr>
              <w:t xml:space="preserve">2</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16</w:t>
            </w:r>
            <w:r>
              <w:rPr>
                <w:rFonts w:hint="eastAsia" w:cs="仿宋" w:asciiTheme="minorEastAsia" w:hAnsiTheme="minorEastAsia" w:eastAsiaTheme="minorEastAsia"/>
                <w:color w:val="000000" w:themeColor="text1"/>
                <w:sz w:val="24"/>
                <w:szCs w:val="24"/>
              </w:rPr>
              <w:t xml:space="preserve">日</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rPr>
              <w:t xml:space="preserve">3</w:t>
            </w:r>
            <w:r>
              <w:rPr>
                <w:rFonts w:hint="eastAsia" w:cs="仿宋" w:asciiTheme="minorEastAsia" w:hAnsiTheme="minorEastAsia" w:eastAsiaTheme="minorEastAsia"/>
                <w:color w:val="000000" w:themeColor="text1"/>
                <w:sz w:val="24"/>
                <w:szCs w:val="24"/>
              </w:rPr>
              <w:t xml:space="preserve">0分</w:t>
            </w:r>
            <w:r/>
          </w:p>
        </w:tc>
      </w:tr>
      <w:tr>
        <w:trPr>
          <w:cantSplit/>
          <w:jc w:val="center"/>
          <w:trHeight w:val="535"/>
        </w:trPr>
        <w:tc>
          <w:tcPr>
            <w:tcW w:w="768" w:type="dxa"/>
            <w:vAlign w:val="center"/>
            <w:vMerge w:val="continue"/>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tc>
        <w:tc>
          <w:tcPr>
            <w:tcW w:w="1494"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投标地点</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”系统不见面开标大厅 </w:t>
            </w:r>
            <w:r/>
          </w:p>
        </w:tc>
      </w:tr>
      <w:tr>
        <w:trPr>
          <w:jc w:val="center"/>
          <w:trHeight w:val="75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开标时间和地点</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w:t>
            </w:r>
            <w:r>
              <w:rPr>
                <w:rFonts w:cs="仿宋" w:asciiTheme="minorEastAsia" w:hAnsiTheme="minorEastAsia" w:eastAsiaTheme="minorEastAsia"/>
                <w:color w:val="000000" w:themeColor="text1"/>
                <w:sz w:val="24"/>
                <w:szCs w:val="24"/>
                <w:u w:val="single"/>
              </w:rPr>
              <w:t xml:space="preserve">5</w:t>
            </w:r>
            <w:r>
              <w:rPr>
                <w:rFonts w:hint="eastAsia"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1</w:t>
            </w:r>
            <w:r>
              <w:rPr>
                <w:rFonts w:hint="eastAsia" w:cs="仿宋" w:asciiTheme="minorEastAsia" w:hAnsiTheme="minorEastAsia" w:eastAsiaTheme="minorEastAsia"/>
                <w:color w:val="000000" w:themeColor="text1"/>
                <w:sz w:val="24"/>
                <w:szCs w:val="24"/>
              </w:rPr>
              <w:t xml:space="preserve">2</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16</w:t>
            </w:r>
            <w:r>
              <w:rPr>
                <w:rFonts w:hint="eastAsia" w:cs="仿宋" w:asciiTheme="minorEastAsia" w:hAnsiTheme="minorEastAsia" w:eastAsiaTheme="minorEastAsia"/>
                <w:color w:val="000000" w:themeColor="text1"/>
                <w:sz w:val="24"/>
                <w:szCs w:val="24"/>
              </w:rPr>
              <w:t xml:space="preserve">日</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rPr>
              <w:t xml:space="preserve">30</w:t>
            </w:r>
            <w:r>
              <w:rPr>
                <w:rFonts w:hint="eastAsia" w:cs="仿宋" w:asciiTheme="minorEastAsia" w:hAnsiTheme="minorEastAsia" w:eastAsiaTheme="minorEastAsia"/>
                <w:color w:val="000000" w:themeColor="text1"/>
                <w:sz w:val="24"/>
                <w:szCs w:val="24"/>
              </w:rPr>
              <w:t xml:space="preserve">分</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”系统不见面开标大厅 </w:t>
            </w:r>
            <w:r/>
          </w:p>
        </w:tc>
      </w:tr>
      <w:tr>
        <w:trPr>
          <w:jc w:val="center"/>
          <w:trHeight w:val="539"/>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评标办法</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定标办法</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采购人根据评标委员会推荐的中标候选供应商顺序确定中标人。</w:t>
            </w:r>
            <w:r/>
          </w:p>
        </w:tc>
      </w:tr>
      <w:tr>
        <w:trPr>
          <w:jc w:val="center"/>
          <w:trHeight w:val="2065"/>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履约保证金</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不提交，招标文件中有关履约保证金的规定均不适用</w:t>
            </w:r>
            <w:r/>
          </w:p>
          <w:p>
            <w:pPr>
              <w:pStyle w:val="823"/>
              <w:ind w:firstLine="0"/>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提交</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金额：中标价的/% </w:t>
            </w:r>
            <w:r/>
          </w:p>
          <w:p>
            <w:pPr>
              <w:pStyle w:val="969"/>
              <w:ind w:firstLine="0"/>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Cs w:val="24"/>
              </w:rPr>
              <w:t xml:space="preserve">形式：保证保险、保函、电汇、转账、汇票、支票、本票等非现金形式</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提交时间：收到中标通知书后签订合同前。</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退还时间：服务期满且经验收合格后无息退还。</w:t>
            </w:r>
            <w:r/>
          </w:p>
        </w:tc>
      </w:tr>
      <w:tr>
        <w:trPr>
          <w:jc w:val="center"/>
          <w:trHeight w:val="79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中标通知书发出之日起</w:t>
            </w:r>
            <w:r>
              <w:rPr>
                <w:rFonts w:hint="eastAsia" w:cs="仿宋" w:asciiTheme="minorEastAsia" w:hAnsiTheme="minorEastAsia" w:eastAsiaTheme="minorEastAsia"/>
                <w:color w:val="000000" w:themeColor="text1"/>
                <w:sz w:val="24"/>
                <w:szCs w:val="24"/>
                <w:u w:val="single"/>
              </w:rPr>
              <w:t xml:space="preserve"> 30 </w:t>
            </w:r>
            <w:r>
              <w:rPr>
                <w:rFonts w:hint="eastAsia" w:cs="仿宋" w:asciiTheme="minorEastAsia" w:hAnsiTheme="minorEastAsia" w:eastAsiaTheme="minorEastAsia"/>
                <w:color w:val="000000" w:themeColor="text1"/>
                <w:sz w:val="24"/>
                <w:szCs w:val="24"/>
              </w:rPr>
              <w:t xml:space="preserve">日内</w:t>
            </w:r>
            <w:r/>
          </w:p>
        </w:tc>
      </w:tr>
      <w:tr>
        <w:trPr>
          <w:jc w:val="center"/>
          <w:trHeight w:val="848"/>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付款方式</w:t>
            </w:r>
            <w:r/>
          </w:p>
        </w:tc>
        <w:tc>
          <w:tcPr>
            <w:tcW w:w="6249" w:type="dxa"/>
            <w:vAlign w:val="center"/>
            <w:textDirection w:val="lrTb"/>
            <w:noWrap w:val="false"/>
          </w:tcPr>
          <w:p>
            <w:pPr>
              <w:ind w:right="-117"/>
              <w:jc w:val="left"/>
              <w:rPr>
                <w:rFonts w:hint="eastAsia" w:cs="仿宋" w:asciiTheme="minorEastAsia" w:hAnsiTheme="minorEastAsia" w:eastAsiaTheme="minorEastAsia"/>
                <w:color w:val="000000" w:themeColor="text1"/>
                <w:sz w:val="24"/>
                <w:szCs w:val="24"/>
              </w:rPr>
            </w:pPr>
            <w:r>
              <w:rPr>
                <w:rFonts w:hint="eastAsia" w:ascii="宋体" w:hAnsi="宋体" w:eastAsia="宋体" w:cs="宋体"/>
                <w:bCs/>
                <w:sz w:val="24"/>
                <w:szCs w:val="24"/>
                <w:lang w:val="zh-CN"/>
              </w:rPr>
              <w:t xml:space="preserve">（</w:t>
            </w: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）货物运到甲方指定的地点，交付全部相关货物资料，安装调试结束，经使用方验收合格，乙方凭验收合格报告并提交相应单据及发票后，经甲方审批后支付合同总价的</w:t>
            </w:r>
            <w:r>
              <w:rPr>
                <w:rFonts w:ascii="宋体" w:hAnsi="宋体" w:eastAsia="宋体" w:cs="宋体"/>
                <w:bCs/>
                <w:sz w:val="24"/>
                <w:szCs w:val="24"/>
                <w:lang w:val="zh-CN"/>
              </w:rPr>
              <w:t xml:space="preserve">90%</w:t>
            </w:r>
            <w:r>
              <w:rPr>
                <w:rFonts w:hint="eastAsia" w:ascii="宋体" w:hAnsi="宋体" w:eastAsia="宋体" w:cs="宋体"/>
                <w:bCs/>
                <w:sz w:val="24"/>
                <w:szCs w:val="24"/>
                <w:lang w:val="zh-CN"/>
              </w:rPr>
              <w:t xml:space="preserve">；（</w:t>
            </w: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）一年后，支付合同总价的</w:t>
            </w:r>
            <w:r>
              <w:rPr>
                <w:rFonts w:ascii="宋体" w:hAnsi="宋体" w:eastAsia="宋体" w:cs="宋体"/>
                <w:bCs/>
                <w:sz w:val="24"/>
                <w:szCs w:val="24"/>
                <w:lang w:val="zh-CN"/>
              </w:rPr>
              <w:t xml:space="preserve">10%</w:t>
            </w:r>
            <w:r>
              <w:rPr>
                <w:rFonts w:hint="eastAsia" w:ascii="宋体" w:hAnsi="宋体" w:eastAsia="宋体" w:cs="宋体"/>
                <w:bCs/>
                <w:sz w:val="24"/>
                <w:szCs w:val="24"/>
                <w:lang w:val="zh-CN"/>
              </w:rPr>
              <w:t xml:space="preserve">。</w:t>
            </w:r>
            <w:r/>
          </w:p>
        </w:tc>
      </w:tr>
      <w:tr>
        <w:trPr>
          <w:jc w:val="center"/>
          <w:trHeight w:val="1355"/>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招标代理服务费</w:t>
            </w:r>
            <w:r/>
          </w:p>
        </w:tc>
        <w:tc>
          <w:tcPr>
            <w:tcW w:w="6249" w:type="dxa"/>
            <w:textDirection w:val="lrTb"/>
            <w:noWrap w:val="false"/>
          </w:tcPr>
          <w:p>
            <w:pPr>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本项目代理费用由中标人支付，中标服务费由中标单位在领取中标通知书时付清，以中标金额作为收费基数标准，按收费比例差额定率分档累进法计算，收费标准按照《江苏省政府采购代理服务收费指导意见》苏</w:t>
            </w:r>
            <w:r>
              <w:rPr>
                <w:rFonts w:hint="eastAsia" w:ascii="宋体" w:hAnsi="宋体" w:eastAsia="宋体" w:cs="仿宋"/>
                <w:color w:val="000000"/>
                <w:sz w:val="24"/>
                <w:szCs w:val="24"/>
              </w:rPr>
              <w:t xml:space="preserve">政采协</w:t>
            </w:r>
            <w:r>
              <w:rPr>
                <w:rFonts w:hint="eastAsia" w:ascii="宋体" w:hAnsi="宋体" w:eastAsia="宋体" w:cs="仿宋"/>
                <w:color w:val="000000"/>
                <w:sz w:val="24"/>
                <w:szCs w:val="24"/>
              </w:rPr>
              <w:t xml:space="preserve">[2024]20号执行。</w:t>
            </w:r>
            <w:r/>
          </w:p>
          <w:p>
            <w:pPr>
              <w:jc w:val="lef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备注256</w:t>
            </w:r>
            <w:r>
              <w:rPr>
                <w:rFonts w:ascii="宋体" w:hAnsi="宋体" w:eastAsia="宋体" w:cs="仿宋"/>
                <w:color w:val="000000"/>
                <w:sz w:val="24"/>
                <w:szCs w:val="24"/>
              </w:rPr>
              <w:t xml:space="preserve">-</w:t>
            </w:r>
            <w:r>
              <w:rPr>
                <w:rFonts w:hint="eastAsia" w:ascii="宋体" w:hAnsi="宋体" w:eastAsia="宋体" w:cs="仿宋"/>
                <w:color w:val="000000"/>
                <w:sz w:val="24"/>
                <w:szCs w:val="24"/>
              </w:rPr>
              <w:t xml:space="preserve">0</w:t>
            </w:r>
            <w:r>
              <w:rPr>
                <w:rFonts w:hint="eastAsia" w:ascii="宋体" w:hAnsi="宋体" w:eastAsia="宋体" w:cs="仿宋"/>
                <w:color w:val="000000"/>
                <w:sz w:val="24"/>
                <w:szCs w:val="24"/>
              </w:rPr>
              <w:t xml:space="preserve">16</w:t>
            </w:r>
            <w:r>
              <w:rPr>
                <w:rFonts w:hint="eastAsia" w:ascii="宋体" w:hAnsi="宋体" w:eastAsia="宋体" w:cs="仿宋"/>
                <w:color w:val="000000"/>
                <w:sz w:val="24"/>
                <w:szCs w:val="24"/>
              </w:rPr>
              <w:t xml:space="preserve">264</w:t>
            </w:r>
            <w:r>
              <w:rPr>
                <w:rFonts w:hint="eastAsia" w:ascii="宋体" w:hAnsi="宋体" w:eastAsia="宋体" w:cs="仿宋"/>
                <w:color w:val="000000"/>
                <w:sz w:val="24"/>
                <w:szCs w:val="24"/>
              </w:rPr>
              <w:t xml:space="preserve">代理服务费。</w:t>
            </w:r>
            <w:r/>
          </w:p>
          <w:p>
            <w:pPr>
              <w:jc w:val="lef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银行信息：</w:t>
            </w:r>
            <w:r/>
          </w:p>
          <w:p>
            <w:pPr>
              <w:jc w:val="lef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户名：江苏海外集团国际工程咨询有限公司</w:t>
            </w:r>
            <w:r/>
          </w:p>
          <w:p>
            <w:pPr>
              <w:jc w:val="lef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开户银行：交行江苏省分行营业部</w:t>
            </w:r>
            <w:r/>
          </w:p>
          <w:p>
            <w:pPr>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账号：</w:t>
            </w:r>
            <w:r>
              <w:rPr>
                <w:rFonts w:ascii="宋体" w:hAnsi="宋体" w:eastAsia="宋体" w:cs="仿宋"/>
                <w:color w:val="000000"/>
                <w:sz w:val="24"/>
                <w:szCs w:val="24"/>
              </w:rPr>
              <w:t xml:space="preserve">320006607010141124109</w:t>
            </w:r>
            <w:r/>
          </w:p>
          <w:p>
            <w:pPr>
              <w:jc w:val="center"/>
              <w:rPr>
                <w:rFonts w:hint="eastAsia" w:ascii="宋体" w:hAnsi="宋体" w:eastAsia="宋体" w:cs="仿宋"/>
                <w:b/>
                <w:bCs/>
                <w:color w:val="000000"/>
                <w:sz w:val="24"/>
                <w:szCs w:val="24"/>
              </w:rPr>
            </w:pPr>
            <w:r>
              <w:rPr>
                <w:rFonts w:hint="eastAsia" w:ascii="宋体" w:hAnsi="宋体" w:eastAsia="宋体" w:cs="仿宋"/>
                <w:b/>
                <w:bCs/>
                <w:color w:val="000000"/>
                <w:sz w:val="24"/>
                <w:szCs w:val="24"/>
              </w:rPr>
              <w:t xml:space="preserve">江苏省政府采购代理常规服务收费指导价</w:t>
            </w:r>
            <w:r/>
          </w:p>
          <w:tbl>
            <w:tblPr>
              <w:tblW w:w="4740" w:type="dxa"/>
              <w:jc w:val="center"/>
              <w:tblLook w:val="04A0" w:firstRow="1" w:lastRow="0" w:firstColumn="1" w:lastColumn="0" w:noHBand="0" w:noVBand="1"/>
            </w:tblPr>
            <w:tblGrid>
              <w:gridCol w:w="3660"/>
              <w:gridCol w:w="1080"/>
            </w:tblGrid>
            <w:tr>
              <w:trPr>
                <w:jc w:val="center"/>
                <w:trHeight w:val="285"/>
              </w:trPr>
              <w:tc>
                <w:tcPr>
                  <w:shd w:val="clear" w:color="000000" w:fill="dce9f9"/>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b/>
                      <w:bCs/>
                      <w:color w:val="1b1c21"/>
                      <w:sz w:val="24"/>
                      <w:szCs w:val="24"/>
                    </w:rPr>
                  </w:pPr>
                  <w:r>
                    <w:rPr>
                      <w:rFonts w:hint="eastAsia" w:ascii="宋体" w:hAnsi="宋体" w:eastAsia="宋体" w:cs="宋体"/>
                      <w:b/>
                      <w:bCs/>
                      <w:color w:val="1b1c21"/>
                      <w:sz w:val="24"/>
                      <w:szCs w:val="24"/>
                    </w:rPr>
                    <w:t xml:space="preserve">中标或者成交金额</w:t>
                  </w:r>
                  <w:r/>
                </w:p>
              </w:tc>
              <w:tc>
                <w:tcPr>
                  <w:shd w:val="clear" w:color="000000" w:fill="dce9f9"/>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
                      <w:bCs/>
                      <w:color w:val="1b1c21"/>
                      <w:sz w:val="24"/>
                      <w:szCs w:val="24"/>
                    </w:rPr>
                  </w:pPr>
                  <w:r>
                    <w:rPr>
                      <w:rFonts w:hint="eastAsia" w:ascii="宋体" w:hAnsi="宋体" w:eastAsia="宋体" w:cs="宋体"/>
                      <w:b/>
                      <w:bCs/>
                      <w:color w:val="1b1c21"/>
                      <w:sz w:val="24"/>
                      <w:szCs w:val="24"/>
                    </w:rPr>
                    <w:t xml:space="preserve">费率</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最低收费金额（每个委托项目）</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5000元</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50万元以下（含50万元）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50-400万元（含400万元）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400-1000万元（含1000万元）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1000-5000万元（含5000万元）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0.8%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5000-1亿元（含1亿元）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0.25%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1-10亿元（含10亿元）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0.05%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10-50亿元（含50亿元）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0.01%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50亿元以上</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0.005%</w:t>
                  </w:r>
                  <w:r/>
                </w:p>
              </w:tc>
            </w:tr>
          </w:tbl>
          <w:p>
            <w:pPr>
              <w:pStyle w:val="969"/>
              <w:ind w:firstLine="0"/>
              <w:jc w:val="both"/>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tc>
      </w:tr>
      <w:tr>
        <w:trPr>
          <w:jc w:val="center"/>
          <w:trHeight w:val="1090"/>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其他</w:t>
            </w:r>
            <w:r/>
          </w:p>
        </w:tc>
        <w:tc>
          <w:tcPr>
            <w:tcW w:w="6249" w:type="dxa"/>
            <w:vAlign w:val="center"/>
            <w:textDirection w:val="lrTb"/>
            <w:noWrap w:val="false"/>
          </w:tcPr>
          <w:p>
            <w:pPr>
              <w:pStyle w:val="969"/>
              <w:ind w:firstLine="0"/>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投标文件的制作要求</w:t>
            </w:r>
            <w:r/>
          </w:p>
          <w:p>
            <w:pPr>
              <w:pStyle w:val="969"/>
              <w:ind w:firstLine="240"/>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本次采购采用“苏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”系统进行政府采购活动。</w:t>
            </w:r>
            <w:r/>
          </w:p>
          <w:p>
            <w:pPr>
              <w:pStyle w:val="969"/>
              <w:ind w:firstLine="240"/>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）供应商操作手册》规定，在“苏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一、说明和释义</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1.说明  </w:t>
      </w:r>
      <w:r/>
    </w:p>
    <w:p>
      <w:pPr>
        <w:pStyle w:val="969"/>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1.1本招标文件仅适用于本采购项目的招标、投标、评审、确定中标单位、验收、合同履约、付款等（法律、法规另有规定的，从其规定）。</w:t>
      </w:r>
      <w:r/>
    </w:p>
    <w:p>
      <w:pPr>
        <w:pStyle w:val="969"/>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1.2本次招标活动及因本次招标产生的合同受中国法律制约和保护。</w:t>
      </w:r>
      <w:r/>
    </w:p>
    <w:p>
      <w:pPr>
        <w:pStyle w:val="969"/>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1.3本招标文件的解释权属于采购人（代理机构）。</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2.词语释义</w:t>
      </w:r>
      <w:r/>
    </w:p>
    <w:p>
      <w:pPr>
        <w:pStyle w:val="969"/>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2.1采购人：指依法进行采购的国家机关、事业单位、团体组织。</w:t>
      </w:r>
      <w:r/>
    </w:p>
    <w:p>
      <w:pPr>
        <w:pStyle w:val="969"/>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2.2 供应商、投标人：指向采购人提供货物、工程或服务的法人、其他组织或者自然人，不包括其分公司。</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2.3采购代理机构：指依法接受采购人委托，从事货物、工程和服务等采购招标代理业务的社会中介机构。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2.4招标采购单位：采购人及采购代理机构的统称。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2.6响应：投标人根据采购人或采购代理机构发售的招标文件，编制投标文件并按规定投标的行为。</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2.7知识产权：指专利权、商标权、著作权等无形财产专有权的统称。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2.8天：日历天。</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2.9服务地点：合同中明确约定的乙方履行服务的最终地点。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2.10不可抗力：不能预见、不能避免并且不能克服的客观情况。</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 实质性响应：满足有关本次采购标的、数量、质量、价款或者报酬、履行期限、履行地点和方式、违约责任和解决争议方法等要求。</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2.12书面形式：指书面文字、合同书、信件等可以有形地表现所载内容的形式。</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二、投标人</w:t>
      </w:r>
      <w:r/>
    </w:p>
    <w:p>
      <w:pP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3.合格投标人资格要求</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3.1详见投标人须知前附表规定。</w:t>
      </w:r>
      <w:r/>
    </w:p>
    <w:p>
      <w:pPr>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
          <w:color w:val="000000" w:themeColor="text1"/>
          <w:sz w:val="24"/>
          <w:szCs w:val="24"/>
        </w:rPr>
        <w:t xml:space="preserve">4.</w:t>
      </w:r>
      <w:r>
        <w:rPr>
          <w:rFonts w:hint="eastAsia" w:cs="仿宋" w:asciiTheme="minorEastAsia" w:hAnsiTheme="minorEastAsia" w:eastAsiaTheme="minorEastAsia"/>
          <w:bCs/>
          <w:color w:val="000000" w:themeColor="text1"/>
          <w:sz w:val="24"/>
          <w:szCs w:val="24"/>
        </w:rPr>
        <w:t xml:space="preserve">投标人应在江苏政府采购“苏</w:t>
      </w:r>
      <w:r>
        <w:rPr>
          <w:rFonts w:hint="eastAsia" w:cs="仿宋" w:asciiTheme="minorEastAsia" w:hAnsiTheme="minorEastAsia" w:eastAsiaTheme="minorEastAsia"/>
          <w:bCs/>
          <w:color w:val="000000" w:themeColor="text1"/>
          <w:sz w:val="24"/>
          <w:szCs w:val="24"/>
        </w:rPr>
        <w:t xml:space="preserve">采云</w:t>
      </w:r>
      <w:r>
        <w:rPr>
          <w:rFonts w:hint="eastAsia" w:cs="仿宋" w:asciiTheme="minorEastAsia" w:hAnsiTheme="minorEastAsia" w:eastAsiaTheme="minorEastAsia"/>
          <w:bCs/>
          <w:color w:val="000000" w:themeColor="text1"/>
          <w:sz w:val="24"/>
          <w:szCs w:val="24"/>
        </w:rPr>
        <w:t xml:space="preserve">”系统（http://jszfcg.jsczt.cn/，下同）下载招标文件及有关资料，按招标文件要求提交全部资料并对招标文件各项内容做出实质性响应。</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5.投标人代表</w:t>
      </w:r>
      <w:r/>
    </w:p>
    <w:p>
      <w:pPr>
        <w:ind w:firstLine="36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5.1指全权代表投标人参加投标活动并签署投标文件的人，如果投标人代表不是法人代表，须具有《法人代表授权委托书》（详见统一格式）。</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6.不接受联合体投标。</w:t>
      </w:r>
      <w:r/>
    </w:p>
    <w:p>
      <w:pPr>
        <w:jc w:val="left"/>
        <w:spacing w:line="360" w:lineRule="auto"/>
        <w:widowControl/>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7.投标人有下列情形之一的不能参加本次投标：</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（1）因重大经济问题正在接受国家有关部门审查的；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（2）正在被其他企业兼并（或收购）或因重大经济纠纷正在进行诉讼或仲裁的；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（3）因腐败和欺诈行为而被有关部门处理的。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（4）被责令停业的；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（5）被暂停或取消投标资格的；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（6）财产被接管或冻结的；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（7）在最近三年内有骗取中标或严重违约或重大工程质量问题的；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（8）在投标过程中弄虚作假、行贿或有其他违法违规行为的；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（9）违反法律法规相关规定的。</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三、招标文件说明</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8.招标文件</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投标人同时应认真审阅招标文件中所有的事项、格式、条款和规范要求等，若投标人的投标文件没有按招标文件要求提交全部资料，或投标文件没有对招</w:t>
      </w:r>
      <w:r>
        <w:rPr>
          <w:rFonts w:hint="eastAsia" w:cs="仿宋" w:asciiTheme="minorEastAsia" w:hAnsiTheme="minorEastAsia" w:eastAsiaTheme="minorEastAsia"/>
          <w:color w:val="000000" w:themeColor="text1"/>
          <w:sz w:val="24"/>
          <w:szCs w:val="24"/>
        </w:rPr>
        <w:t xml:space="preserve">标文件做出实质性响应，其风险由投标人自行承担，并根据有关条款规定，该投标有可能被否决。</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9.现场勘察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9.1投标人应按</w:t>
      </w:r>
      <w:r>
        <w:rPr>
          <w:rFonts w:hint="eastAsia" w:cs="仿宋" w:asciiTheme="minorEastAsia" w:hAnsiTheme="minorEastAsia" w:eastAsiaTheme="minorEastAsia"/>
          <w:bCs/>
          <w:color w:val="000000" w:themeColor="text1"/>
          <w:sz w:val="24"/>
          <w:szCs w:val="24"/>
        </w:rPr>
        <w:t xml:space="preserve">招标文件中所述时间</w:t>
      </w:r>
      <w:r>
        <w:rPr>
          <w:rFonts w:hint="eastAsia" w:cs="仿宋" w:asciiTheme="minorEastAsia" w:hAnsiTheme="minorEastAsia" w:eastAsiaTheme="minorEastAsia"/>
          <w:color w:val="000000" w:themeColor="text1"/>
          <w:sz w:val="24"/>
          <w:szCs w:val="24"/>
        </w:rPr>
        <w:t xml:space="preserve">对有关现场和周围环境进行勘察，以获取编制投标文件和签署合同所需的信息。勘察现场所发生的费用由投标人自己承担。</w:t>
      </w:r>
      <w:r/>
    </w:p>
    <w:p>
      <w:pPr>
        <w:pStyle w:val="969"/>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969"/>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969"/>
        <w:ind w:firstLine="480"/>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color w:val="000000" w:themeColor="text1"/>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10.招标文件的澄清和修改</w:t>
      </w:r>
      <w:r/>
    </w:p>
    <w:p>
      <w:pPr>
        <w:ind w:firstLine="488"/>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四、投标文件说明</w:t>
      </w:r>
      <w:r/>
    </w:p>
    <w:p>
      <w:pP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11.投标文件计量单位和使用文字</w:t>
      </w:r>
      <w:r/>
    </w:p>
    <w:p>
      <w:pPr>
        <w:pStyle w:val="969"/>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11.1投标文件中所使用的计量单位，除招标文件中有特殊要求外，均应使</w:t>
      </w:r>
      <w:r>
        <w:rPr>
          <w:rFonts w:hint="eastAsia" w:cs="仿宋" w:asciiTheme="minorEastAsia" w:hAnsiTheme="minorEastAsia" w:eastAsiaTheme="minorEastAsia"/>
          <w:color w:val="000000" w:themeColor="text1"/>
          <w:szCs w:val="24"/>
        </w:rPr>
        <w:t xml:space="preserve">用中华人民共和国法定计量单位。</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968"/>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11.3投标人应当同时凭CA数字证书登录</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w:t>
      </w:r>
      <w:bookmarkStart w:id="38" w:name="_Toc217446047"/>
      <w:r>
        <w:rPr>
          <w:rFonts w:hint="eastAsia" w:cs="仿宋" w:asciiTheme="minorEastAsia" w:hAnsiTheme="minorEastAsia" w:eastAsiaTheme="minorEastAsia"/>
          <w:b/>
          <w:color w:val="000000" w:themeColor="text1"/>
          <w:sz w:val="24"/>
          <w:szCs w:val="24"/>
        </w:rPr>
        <w:t xml:space="preserve">2.知识产权</w:t>
      </w:r>
      <w:bookmarkEnd w:id="38"/>
      <w:r/>
      <w:r/>
    </w:p>
    <w:p>
      <w:pPr>
        <w:pStyle w:val="969"/>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13.投标文件的组成</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资格、资信证明文件：</w:t>
      </w:r>
      <w:r/>
    </w:p>
    <w:p>
      <w:pPr>
        <w:pStyle w:val="823"/>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资格证明文件（格式见附件）</w:t>
      </w:r>
      <w:r/>
    </w:p>
    <w:p>
      <w:pPr>
        <w:pStyle w:val="823"/>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承诺书（格式见附件）；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中小企业声明函（格式见附件）；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采购人要求的特定资质证明（详见“采购公告”-“本项目特定资格要求”之3中要求）。</w:t>
      </w:r>
      <w:r/>
    </w:p>
    <w:p>
      <w:pPr>
        <w:pStyle w:val="970"/>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（9）未被列入“信用中国”网站(www.creditchina.gov.cn)失信被执行人名单、重大税收违法案件当事人名单和中国政府采购网(www.ccgp.gov.cn)政府采购严重违法失信行为记录名单（网页截图）。</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hint="eastAsia" w:cs="仿宋" w:asciiTheme="minorEastAsia" w:hAnsiTheme="minorEastAsia" w:eastAsiaTheme="minorEastAsia"/>
          <w:b/>
          <w:color w:val="000000" w:themeColor="text1"/>
          <w:sz w:val="24"/>
          <w:u w:val="single"/>
        </w:rPr>
      </w:pPr>
      <w:r>
        <w:rPr>
          <w:rFonts w:hint="eastAsia" w:cs="仿宋" w:asciiTheme="minorEastAsia" w:hAnsiTheme="minorEastAsia" w:eastAsiaTheme="minorEastAsia"/>
          <w:color w:val="000000" w:themeColor="text1"/>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w:t>
      </w:r>
      <w:r>
        <w:rPr>
          <w:rFonts w:hint="eastAsia" w:cs="仿宋" w:asciiTheme="minorEastAsia" w:hAnsiTheme="minorEastAsia" w:eastAsiaTheme="minorEastAsia"/>
          <w:color w:val="000000" w:themeColor="text1"/>
          <w:sz w:val="24"/>
          <w:szCs w:val="24"/>
        </w:rPr>
        <w:t xml:space="preserve">区人士</w:t>
      </w:r>
      <w:r>
        <w:rPr>
          <w:rFonts w:hint="eastAsia" w:cs="仿宋" w:asciiTheme="minorEastAsia" w:hAnsiTheme="minorEastAsia" w:eastAsiaTheme="minorEastAsia"/>
          <w:color w:val="000000" w:themeColor="text1"/>
          <w:sz w:val="24"/>
          <w:szCs w:val="24"/>
        </w:rPr>
        <w:t xml:space="preserve">的，其身份证明须提供有效的护照或港澳同胞来往内地通行证、台湾同胞来往大陆通行证，或其它可在中国大陆有效居留的许可证明。</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14.投标文件编制及递交要求</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14.1所有文件、往来函件均应使用</w:t>
      </w:r>
      <w:r>
        <w:rPr>
          <w:rFonts w:hint="eastAsia" w:cs="仿宋" w:asciiTheme="minorEastAsia" w:hAnsiTheme="minorEastAsia" w:eastAsiaTheme="minorEastAsia"/>
          <w:b/>
          <w:bCs/>
          <w:color w:val="000000" w:themeColor="text1"/>
          <w:sz w:val="24"/>
          <w:szCs w:val="24"/>
        </w:rPr>
        <w:t xml:space="preserve">简体中文</w:t>
      </w:r>
      <w:r>
        <w:rPr>
          <w:rFonts w:hint="eastAsia" w:cs="仿宋" w:asciiTheme="minorEastAsia" w:hAnsiTheme="minorEastAsia" w:eastAsiaTheme="minorEastAsia"/>
          <w:color w:val="000000" w:themeColor="text1"/>
          <w:sz w:val="24"/>
          <w:szCs w:val="24"/>
        </w:rPr>
        <w:t xml:space="preserve">（规格、型号辅助符号例外）。</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14.3如无特别说明，投标人报价一律以人民币为投标结算货币,结算单位为“元”。</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14.5投标费用自理。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14.6投标人应当同时凭CA数字证书登录</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w:t>
      </w:r>
      <w:r>
        <w:rPr>
          <w:rFonts w:hint="eastAsia" w:cs="仿宋" w:asciiTheme="minorEastAsia" w:hAnsiTheme="minorEastAsia" w:eastAsiaTheme="minorEastAsia"/>
          <w:color w:val="000000" w:themeColor="text1"/>
          <w:sz w:val="24"/>
          <w:szCs w:val="24"/>
        </w:rPr>
        <w:t xml:space="preserve">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15.投标报价（编制）要求的说明</w:t>
      </w:r>
      <w:r/>
    </w:p>
    <w:p>
      <w:pPr>
        <w:pStyle w:val="969"/>
        <w:ind w:firstLine="505"/>
        <w:jc w:val="both"/>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color w:val="000000" w:themeColor="text1"/>
          <w:szCs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w:t>
      </w:r>
      <w:r>
        <w:rPr>
          <w:rFonts w:hint="eastAsia" w:cs="仿宋" w:asciiTheme="minorEastAsia" w:hAnsiTheme="minorEastAsia" w:eastAsiaTheme="minorEastAsia"/>
          <w:color w:val="000000" w:themeColor="text1"/>
          <w:szCs w:val="24"/>
        </w:rPr>
        <w:t xml:space="preserve">规</w:t>
      </w:r>
      <w:r>
        <w:rPr>
          <w:rFonts w:hint="eastAsia" w:cs="仿宋" w:asciiTheme="minorEastAsia" w:hAnsiTheme="minorEastAsia" w:eastAsiaTheme="minorEastAsia"/>
          <w:color w:val="000000" w:themeColor="text1"/>
          <w:szCs w:val="24"/>
        </w:rPr>
        <w:t xml:space="preserve">费、税金、有关文件规定的政策性调价等以及各种可能发生的风险费用以及招标文件约定的其他等各项费用。</w:t>
      </w:r>
      <w:r/>
    </w:p>
    <w:p>
      <w:pPr>
        <w:pStyle w:val="969"/>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投标人要认真阅读清单，慎重报价。采购人不再支付报价以外的任何费用。</w:t>
      </w:r>
      <w:r/>
    </w:p>
    <w:p>
      <w:pPr>
        <w:pStyle w:val="969"/>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15.2投标人应对招标文件内所要采购的全部内容进行报价，只</w:t>
      </w:r>
      <w:r>
        <w:rPr>
          <w:rFonts w:hint="eastAsia" w:cs="仿宋" w:asciiTheme="minorEastAsia" w:hAnsiTheme="minorEastAsia" w:eastAsiaTheme="minorEastAsia"/>
          <w:color w:val="000000" w:themeColor="text1"/>
          <w:szCs w:val="24"/>
        </w:rPr>
        <w:t xml:space="preserve">投其中</w:t>
      </w:r>
      <w:r>
        <w:rPr>
          <w:rFonts w:hint="eastAsia" w:cs="仿宋" w:asciiTheme="minorEastAsia" w:hAnsiTheme="minorEastAsia" w:eastAsiaTheme="minorEastAsia"/>
          <w:color w:val="000000" w:themeColor="text1"/>
          <w:szCs w:val="24"/>
        </w:rPr>
        <w:t xml:space="preserve">部分内容者，其标书将被拒绝。</w:t>
      </w:r>
      <w:r/>
    </w:p>
    <w:p>
      <w:pPr>
        <w:pStyle w:val="969"/>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15.3</w:t>
      </w:r>
      <w:r>
        <w:rPr>
          <w:rFonts w:hint="eastAsia" w:cs="仿宋" w:asciiTheme="minorEastAsia" w:hAnsiTheme="minorEastAsia" w:eastAsiaTheme="minorEastAsia"/>
          <w:color w:val="000000" w:themeColor="text1"/>
          <w:szCs w:val="24"/>
        </w:rPr>
        <w:t xml:space="preserve">一</w:t>
      </w:r>
      <w:r>
        <w:rPr>
          <w:rFonts w:hint="eastAsia" w:cs="仿宋" w:asciiTheme="minorEastAsia" w:hAnsiTheme="minorEastAsia" w:eastAsiaTheme="minorEastAsia"/>
          <w:color w:val="000000" w:themeColor="text1"/>
          <w:szCs w:val="24"/>
        </w:rPr>
        <w:t xml:space="preserve">项投标内容只允许一个报价，招标采购单位不接受任何有选择性的投标报价。</w:t>
      </w:r>
      <w:r/>
    </w:p>
    <w:p>
      <w:pPr>
        <w:pStyle w:val="96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15.4投标文件报价中的单价和总价全部采用人民币表示，除非合同的特殊条款另有规定。</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16.投标保证金</w:t>
      </w:r>
      <w:r/>
    </w:p>
    <w:p>
      <w:pPr>
        <w:pStyle w:val="813"/>
        <w:ind w:firstLine="480"/>
        <w:keepLines w:val="0"/>
        <w:keepNext w:val="0"/>
        <w:spacing w:before="0" w:after="0" w:line="360" w:lineRule="auto"/>
        <w:rPr>
          <w:rFonts w:hint="eastAsia"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根据</w:t>
      </w:r>
      <w:r>
        <w:rPr>
          <w:rFonts w:hint="eastAsia" w:cs="仿宋" w:asciiTheme="minorEastAsia" w:hAnsiTheme="minorEastAsia" w:eastAsiaTheme="minorEastAsia"/>
          <w:b w:val="0"/>
          <w:bCs w:val="0"/>
          <w:color w:val="000000" w:themeColor="text1"/>
          <w:sz w:val="24"/>
          <w:szCs w:val="24"/>
        </w:rPr>
        <w:t xml:space="preserve">苏财购〔2020〕</w:t>
      </w:r>
      <w:r>
        <w:rPr>
          <w:rFonts w:hint="eastAsia" w:cs="仿宋" w:asciiTheme="minorEastAsia" w:hAnsiTheme="minorEastAsia" w:eastAsiaTheme="minorEastAsia"/>
          <w:b w:val="0"/>
          <w:bCs w:val="0"/>
          <w:color w:val="000000" w:themeColor="text1"/>
          <w:sz w:val="24"/>
          <w:szCs w:val="24"/>
        </w:rPr>
        <w:t xml:space="preserve">52号文件，本项目不收取投标保证金。 </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17.投标文件的有效期</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18.投标文件的拒收</w:t>
      </w:r>
      <w:r/>
    </w:p>
    <w:p>
      <w:pPr>
        <w:pStyle w:val="96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采购人拒绝接收在其规定的投标截止时间后上传的任何投标文件。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五、投标文件的递交</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19.投标文件的递交</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19.1电子投标文件的递交</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投标人应当按照《江苏省政府采购管理交易系统（苏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）供应商操作手册及政府采购客户端》规定，在投标截止时间</w:t>
      </w:r>
      <w:r>
        <w:rPr>
          <w:rFonts w:hint="eastAsia" w:cs="仿宋" w:asciiTheme="minorEastAsia" w:hAnsiTheme="minorEastAsia" w:eastAsiaTheme="minorEastAsia"/>
          <w:color w:val="000000" w:themeColor="text1"/>
          <w:sz w:val="24"/>
          <w:szCs w:val="24"/>
        </w:rPr>
        <w:t xml:space="preserve">前制作</w:t>
      </w:r>
      <w:r>
        <w:rPr>
          <w:rFonts w:hint="eastAsia" w:cs="仿宋" w:asciiTheme="minorEastAsia" w:hAnsiTheme="minorEastAsia" w:eastAsiaTheme="minorEastAsia"/>
          <w:color w:val="000000" w:themeColor="text1"/>
          <w:sz w:val="24"/>
          <w:szCs w:val="24"/>
        </w:rPr>
        <w:t xml:space="preserve">并上传电子投标文件。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20.投标截止日期</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21.投标文件的修改和撤回</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21.1投标文件的撤回</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投标人可在投标截止时间前，撤回其电子投标文件，具体操作方法见《江苏省政府采购管理交易系统（苏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 投标文件的修改</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投标人可在投标截止时间前，对其电子投标文件进行修改，具体操作方法见《江苏省政府采购管理交易系统（苏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21.3在投标截止时间之后，投标人不得对其电子投标文件作任何修改。</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六、开标和评标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22.开标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22.1采购人将在招标公告中规定的时间和地点组织公开开标。投标人应当按照《江苏省政府采购管理交易系统（苏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）供应商操作手册及政府采购客户端》规定，参加开标活动。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22.2开标仪式由采购代理机构组织。</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将自动对项目进行开标，并宣读各投标人的《开标一览表》。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22.3投标人在开标过程中涉及到的投标文件解密、开标结果确认等工作，应按照《江苏省政府采购管理交易系统（苏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）供应商操作手册及政府采购客户端》规定执行。投标人在苏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系统规定时间内未解密，超时视同解密失败，放弃投标。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22.4投标人如果对开标过程和开标记录有疑义，应当根据《江苏省政府采购管理交易系统（苏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）供应商操作手册及政府采购客户端》规定提出，如 </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中《开标一览表》宣布后5分钟内未提出的，</w:t>
      </w:r>
      <w:r>
        <w:rPr>
          <w:rFonts w:hint="eastAsia" w:cs="仿宋" w:asciiTheme="minorEastAsia" w:hAnsiTheme="minorEastAsia" w:eastAsiaTheme="minorEastAsia"/>
          <w:color w:val="000000" w:themeColor="text1"/>
          <w:sz w:val="24"/>
          <w:szCs w:val="24"/>
        </w:rPr>
        <w:t xml:space="preserve">视同认可开标结果。</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22.6投标人未参加开标的，视同认可开标结果。</w:t>
      </w:r>
      <w:r/>
    </w:p>
    <w:p>
      <w:pPr>
        <w:spacing w:line="360" w:lineRule="auto"/>
        <w:tabs>
          <w:tab w:val="center" w:pos="4479" w:leader="none"/>
        </w:tabs>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23.评标委员会</w:t>
      </w:r>
      <w:r>
        <w:rPr>
          <w:rFonts w:hint="eastAsia" w:cs="仿宋" w:asciiTheme="minorEastAsia" w:hAnsiTheme="minorEastAsia" w:eastAsiaTheme="minorEastAsia"/>
          <w:b/>
          <w:color w:val="000000" w:themeColor="text1"/>
          <w:sz w:val="24"/>
          <w:szCs w:val="24"/>
        </w:rPr>
        <w:tab/>
      </w:r>
      <w:r/>
    </w:p>
    <w:p>
      <w:pPr>
        <w:pStyle w:val="96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23.1评标委员会由招标采购单位依法组建，负责本项目的评标事务。</w:t>
      </w:r>
      <w:r/>
    </w:p>
    <w:p>
      <w:pPr>
        <w:pStyle w:val="96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23.2评标委员会独立履行下列职责：</w:t>
      </w:r>
      <w:r/>
    </w:p>
    <w:p>
      <w:pPr>
        <w:pStyle w:val="96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23.2.1审查投标文件是否符合招标文件的要求，并</w:t>
      </w:r>
      <w:r>
        <w:rPr>
          <w:rFonts w:hint="eastAsia" w:cs="仿宋" w:asciiTheme="minorEastAsia" w:hAnsiTheme="minorEastAsia" w:eastAsiaTheme="minorEastAsia"/>
          <w:color w:val="000000" w:themeColor="text1"/>
          <w:szCs w:val="24"/>
        </w:rPr>
        <w:t xml:space="preserve">作出</w:t>
      </w:r>
      <w:r>
        <w:rPr>
          <w:rFonts w:hint="eastAsia" w:cs="仿宋" w:asciiTheme="minorEastAsia" w:hAnsiTheme="minorEastAsia" w:eastAsiaTheme="minorEastAsia"/>
          <w:color w:val="000000" w:themeColor="text1"/>
          <w:szCs w:val="24"/>
        </w:rPr>
        <w:t xml:space="preserve">评价；</w:t>
      </w:r>
      <w:r/>
    </w:p>
    <w:p>
      <w:pPr>
        <w:pStyle w:val="96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23.2.2可以要求投标供应商对投标文件有关事项</w:t>
      </w:r>
      <w:r>
        <w:rPr>
          <w:rFonts w:hint="eastAsia" w:cs="仿宋" w:asciiTheme="minorEastAsia" w:hAnsiTheme="minorEastAsia" w:eastAsiaTheme="minorEastAsia"/>
          <w:color w:val="000000" w:themeColor="text1"/>
          <w:szCs w:val="24"/>
        </w:rPr>
        <w:t xml:space="preserve">作出</w:t>
      </w:r>
      <w:r>
        <w:rPr>
          <w:rFonts w:hint="eastAsia" w:cs="仿宋" w:asciiTheme="minorEastAsia" w:hAnsiTheme="minorEastAsia" w:eastAsiaTheme="minorEastAsia"/>
          <w:color w:val="000000" w:themeColor="text1"/>
          <w:szCs w:val="24"/>
        </w:rPr>
        <w:t xml:space="preserve">解释或澄清；</w:t>
      </w:r>
      <w:r/>
    </w:p>
    <w:p>
      <w:pPr>
        <w:pStyle w:val="96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23.2.3推荐中标候选供应商名单，或者受采购人委托按照事先确定的办法直接确定中标供应商；</w:t>
      </w:r>
      <w:r/>
    </w:p>
    <w:p>
      <w:pPr>
        <w:pStyle w:val="96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23.2.4向招标采购单位或者有关部门报告非法干预评标工作的行为。</w:t>
      </w:r>
      <w:r/>
    </w:p>
    <w:p>
      <w:pPr>
        <w:pStyle w:val="96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23.3评标委员会成员应当履行下列义务：</w:t>
      </w:r>
      <w:r/>
    </w:p>
    <w:p>
      <w:pPr>
        <w:pStyle w:val="96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23.3.1遵纪守法，客观、公正、廉洁地履行职责；</w:t>
      </w:r>
      <w:r/>
    </w:p>
    <w:p>
      <w:pPr>
        <w:pStyle w:val="96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23.3.2按照招标文件规定的评标办法和评标标准进行评标，对评审意见承担个人责任；</w:t>
      </w:r>
      <w:r/>
    </w:p>
    <w:p>
      <w:pPr>
        <w:pStyle w:val="96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23.3.3对评标过程和结果，以及投标人的商业秘密保密；</w:t>
      </w:r>
      <w:r/>
    </w:p>
    <w:p>
      <w:pPr>
        <w:pStyle w:val="96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23.3.4参与评标报告的起草；</w:t>
      </w:r>
      <w:r/>
    </w:p>
    <w:p>
      <w:pPr>
        <w:pStyle w:val="96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23.3.5配合相关部门的投诉处理工作；</w:t>
      </w:r>
      <w:r/>
    </w:p>
    <w:p>
      <w:pPr>
        <w:pStyle w:val="96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23.3.6配合招标采购单位答复投标供应商提出的质疑。</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24.评标内容的保密</w:t>
      </w:r>
      <w:r/>
    </w:p>
    <w:p>
      <w:pPr>
        <w:pStyle w:val="96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24.1公开开标后，直到宣布授予中标人合同为止，凡属于审查、澄清、评价和比较投标的所有资料，有关授予合同的信息都不应向投标人或与评标无关的其他人泄露。</w:t>
      </w:r>
      <w:r/>
    </w:p>
    <w:p>
      <w:pPr>
        <w:pStyle w:val="96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24.2 在投标文件的审查、澄清、评价和比较以及授予合同的过程中，投标人对招标采购单位和评标委员会成员施加影响的任何行为，都将取消其投标资</w:t>
      </w:r>
      <w:r>
        <w:rPr>
          <w:rFonts w:hint="eastAsia" w:cs="仿宋" w:asciiTheme="minorEastAsia" w:hAnsiTheme="minorEastAsia" w:eastAsiaTheme="minorEastAsia"/>
          <w:color w:val="000000" w:themeColor="text1"/>
          <w:szCs w:val="24"/>
        </w:rPr>
        <w:t xml:space="preserve">格。</w:t>
      </w:r>
      <w:r/>
    </w:p>
    <w:p>
      <w:pPr>
        <w:pStyle w:val="96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24.3在评标期间，招标采购单位将通过指定联络人与投标人进行联系。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25.对投标文件初审</w:t>
      </w:r>
      <w:r/>
    </w:p>
    <w:p>
      <w:pPr>
        <w:pStyle w:val="969"/>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25.1投标文件初审分为资格性检查和符合性检查。</w:t>
      </w:r>
      <w:r/>
    </w:p>
    <w:p>
      <w:pPr>
        <w:pStyle w:val="969"/>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25.1.2符合性检查。依据招标文件的规定，从投标文件的有效性、完整性和对招标文件的响应程度进行审查，以确定是否对招标文件的实质性要求</w:t>
      </w:r>
      <w:r>
        <w:rPr>
          <w:rFonts w:hint="eastAsia" w:cs="仿宋" w:asciiTheme="minorEastAsia" w:hAnsiTheme="minorEastAsia" w:eastAsiaTheme="minorEastAsia"/>
          <w:color w:val="000000" w:themeColor="text1"/>
          <w:sz w:val="24"/>
          <w:szCs w:val="24"/>
        </w:rPr>
        <w:t xml:space="preserve">作出</w:t>
      </w:r>
      <w:r>
        <w:rPr>
          <w:rFonts w:hint="eastAsia" w:cs="仿宋" w:asciiTheme="minorEastAsia" w:hAnsiTheme="minorEastAsia" w:eastAsiaTheme="minorEastAsia"/>
          <w:color w:val="000000" w:themeColor="text1"/>
          <w:sz w:val="24"/>
          <w:szCs w:val="24"/>
        </w:rPr>
        <w:t xml:space="preserve">响应。</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投标人有下列情况之一者，投标文件无效：</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1）投标人未在规定时间内成功解密电子投标文件的；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2）投标人未按照招标文件要求上传电子投标文件的；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3）投标文件未按照招标文件要求加盖电子签章；</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4）招标人的法定代表人授权代表，无法定代表人授权委托书的；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5）不具备招标文件中规定的资格要求或未按招标文件规定的要求提供资格、资信证明文件的；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7）投标文件未按招标文件规定的内容和要求填写的；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8）投标文件中有招标文件未允许提供的选择性内容；</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9）不同投标人的投标文件由同一单位或者个人编制的；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10）不同投标人委托同一单位或者个人办理投标事宜的；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11）不同投标人的投标文件载明的项目管理成员为同一人的；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12）不同投标人的投标文件异常一致或者投标报价呈规律性差异的；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13）不同投标人的单位负责人为同一人或者存在直接控股、管理关系的；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14）项目（标段）投标总价或单价超过本项目（标段）预算或最高限价的；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15）提供虚假材料的（包括工商营业执照、财务报表、资格证明文件等）；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16）投标文件含有采购人不能接受的附加条件的；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18）除单一来源采购项目外，为采购项目提供整体设计、规范编制或者项目管理、监理、检测等服务的；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19）投标文件内容不全或不符合招标文件中规定的其它实质性要求的；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20）法律法规和招标文件规定的其它无效情形；</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21）改变招标文件清单给出的名称、实施范围、工作内容、计量单位、工程量、养护标准等。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25.5招标采购单位对投标文件的判定，只依据投标内容本身，不依靠开标后的任何外来证明。</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25.6招标采购单位将拒绝被确定为非实质性响应的投标，投标人不能通过修正或撤销不符之处而使其投标成为实质性响应的投标。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26.投标的澄清</w:t>
      </w:r>
      <w:r/>
    </w:p>
    <w:p>
      <w:pPr>
        <w:pStyle w:val="96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26.1对投标文件中含义不明确、同类问题表述不一致或者有明显文字和计算错误的内容，评委会有权以电子函件形式要求投标人对其投标文件</w:t>
      </w:r>
      <w:r>
        <w:rPr>
          <w:rFonts w:hint="eastAsia" w:cs="仿宋" w:asciiTheme="minorEastAsia" w:hAnsiTheme="minorEastAsia" w:eastAsiaTheme="minorEastAsia"/>
          <w:color w:val="000000" w:themeColor="text1"/>
          <w:szCs w:val="24"/>
        </w:rPr>
        <w:t xml:space="preserve">作出</w:t>
      </w:r>
      <w:r>
        <w:rPr>
          <w:rFonts w:hint="eastAsia" w:cs="仿宋" w:asciiTheme="minorEastAsia" w:hAnsiTheme="minorEastAsia" w:eastAsiaTheme="minorEastAsia"/>
          <w:color w:val="000000" w:themeColor="text1"/>
          <w:szCs w:val="24"/>
        </w:rPr>
        <w:t xml:space="preserve">必要的澄清、说明或者纠正，但并非对每个投标人都作澄清要求。接到评委会澄清要求的投标人应派人按评委会规定的时间和格式在</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江苏政府采购“苏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中做出澄清，由其授权的代表签字，澄清的内容作为投标文件的补充部分，但投标的价格和实质性的内容不得做任何更改。具体操作方式见《江苏省政府采购管理交易系统（苏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）供应商操作手册及政府采购客户端》。接到评委会澄清要求的投标人如未按规定做出澄清，其风险由投标人自行承担。</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27.废标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27.1 在招标采购中，出现下列情形之一的，应予废标：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1．符合专业条件的投标人或者对招标文件</w:t>
      </w:r>
      <w:r>
        <w:rPr>
          <w:rFonts w:hint="eastAsia" w:cs="仿宋" w:asciiTheme="minorEastAsia" w:hAnsiTheme="minorEastAsia" w:eastAsiaTheme="minorEastAsia"/>
          <w:color w:val="000000" w:themeColor="text1"/>
          <w:sz w:val="24"/>
          <w:szCs w:val="24"/>
        </w:rPr>
        <w:t xml:space="preserve">作出</w:t>
      </w:r>
      <w:r>
        <w:rPr>
          <w:rFonts w:hint="eastAsia" w:cs="仿宋" w:asciiTheme="minorEastAsia" w:hAnsiTheme="minorEastAsia" w:eastAsiaTheme="minorEastAsia"/>
          <w:color w:val="000000" w:themeColor="text1"/>
          <w:sz w:val="24"/>
          <w:szCs w:val="24"/>
        </w:rPr>
        <w:t xml:space="preserve">实质性响应的投标人不足三家；</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2．出现影响采购公正的违法、违规行为；</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3．投标人的报价均超过采购预算，采购人不能支付的；</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4．因重大变故，采购任务取消。</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5．因</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系统重大故障原因无法继续开评标的。</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28.投标文件的评价和比较</w:t>
      </w:r>
      <w:r/>
    </w:p>
    <w:p>
      <w:pPr>
        <w:pStyle w:val="969"/>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28.1评标委员会按招标文件规定的评标方法和标准，对符合性检查合格的投标文件进行商务和技术评估，综合比较与评价。</w:t>
      </w:r>
      <w:r/>
    </w:p>
    <w:p>
      <w:pPr>
        <w:pStyle w:val="969"/>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28.2最低的投标报价或最高的折扣比例是中标的重要条件，但不是唯一条件。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七、授予合同</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29.中标人的确认</w:t>
      </w:r>
      <w:r/>
    </w:p>
    <w:p>
      <w:pPr>
        <w:pStyle w:val="96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96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29.2中标无效的确认：</w:t>
      </w:r>
      <w:r/>
    </w:p>
    <w:p>
      <w:pPr>
        <w:pStyle w:val="96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（1）提供虚假材料谋取中标的；</w:t>
      </w:r>
      <w:r/>
    </w:p>
    <w:p>
      <w:pPr>
        <w:pStyle w:val="96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（2）采取不正当手段诋毁、排挤其他投标人的；</w:t>
      </w:r>
      <w:r/>
    </w:p>
    <w:p>
      <w:pPr>
        <w:pStyle w:val="96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（3）与招标采购单位、其他投标人恶意串通的；</w:t>
      </w:r>
      <w:r/>
    </w:p>
    <w:p>
      <w:pPr>
        <w:pStyle w:val="96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（4）向招标采购单位行贿或者提供其他不正当利益的；</w:t>
      </w:r>
      <w:r/>
    </w:p>
    <w:p>
      <w:pPr>
        <w:pStyle w:val="96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（5）在招标过程中与招标采购单位进行协商谈判、不按照招标文件和中标供应商的投标文件订立合同，或者与采购人另行订立背离合同实质性内容的协议的；</w:t>
      </w:r>
      <w:r/>
    </w:p>
    <w:p>
      <w:pPr>
        <w:pStyle w:val="96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（6）拒绝有关部门监督检查或者提供虚假情况的。</w:t>
      </w:r>
      <w:r/>
    </w:p>
    <w:p>
      <w:pPr>
        <w:pStyle w:val="96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投标人有上述（1）至（5）项情形之一的，中标无效。有上述（1）至（6）项情形之一的，处以政府采购项目中标金额千分之五以上千</w:t>
      </w:r>
      <w:r>
        <w:rPr>
          <w:rFonts w:hint="eastAsia" w:cs="仿宋" w:asciiTheme="minorEastAsia" w:hAnsiTheme="minorEastAsia" w:eastAsiaTheme="minorEastAsia"/>
          <w:color w:val="000000" w:themeColor="text1"/>
          <w:szCs w:val="24"/>
        </w:rPr>
        <w:t xml:space="preserve">分之十</w:t>
      </w:r>
      <w:r>
        <w:rPr>
          <w:rFonts w:hint="eastAsia" w:cs="仿宋" w:asciiTheme="minorEastAsia" w:hAnsiTheme="minorEastAsia" w:eastAsiaTheme="minorEastAsia"/>
          <w:color w:val="000000" w:themeColor="text1"/>
          <w:szCs w:val="24"/>
        </w:rPr>
        <w:t xml:space="preserve">以下的罚款，列入不良行为记录名单，在一至三年内禁止参加政府采购活动，并予以公告，</w:t>
      </w:r>
      <w:r>
        <w:rPr>
          <w:rFonts w:hint="eastAsia" w:cs="仿宋" w:asciiTheme="minorEastAsia" w:hAnsiTheme="minorEastAsia" w:eastAsiaTheme="minorEastAsia"/>
          <w:color w:val="000000" w:themeColor="text1"/>
          <w:szCs w:val="24"/>
        </w:rPr>
        <w:t xml:space="preserve">有违法所得的，并处没收违法所得，情节严重的，由工商行政管理机构吊销营业执照；构成犯罪的，依法追究刑事责任。</w:t>
      </w:r>
      <w:r/>
    </w:p>
    <w:p>
      <w:pPr>
        <w:pStyle w:val="96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29.3经评标委员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w:t>
      </w:r>
      <w:r>
        <w:rPr>
          <w:rFonts w:hint="eastAsia" w:cs="仿宋" w:asciiTheme="minorEastAsia" w:hAnsiTheme="minorEastAsia" w:eastAsiaTheme="minorEastAsia"/>
          <w:color w:val="000000" w:themeColor="text1"/>
          <w:szCs w:val="24"/>
        </w:rPr>
        <w:t xml:space="preserve">作出</w:t>
      </w:r>
      <w:r>
        <w:rPr>
          <w:rFonts w:hint="eastAsia" w:cs="仿宋" w:asciiTheme="minorEastAsia" w:hAnsiTheme="minorEastAsia" w:eastAsiaTheme="minorEastAsia"/>
          <w:color w:val="000000" w:themeColor="text1"/>
          <w:szCs w:val="24"/>
        </w:rPr>
        <w:t xml:space="preserve">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29.4供应商应当在法定质疑期内一次性提出针对同一采购程序环节的质疑。供应商如在法定期限内对同一采购程序环节提出多次质疑的，招标人（或代理机构）将只对供应商第一次质疑</w:t>
      </w:r>
      <w:r>
        <w:rPr>
          <w:rFonts w:hint="eastAsia" w:cs="仿宋" w:asciiTheme="minorEastAsia" w:hAnsiTheme="minorEastAsia" w:eastAsiaTheme="minorEastAsia"/>
          <w:color w:val="000000" w:themeColor="text1"/>
          <w:sz w:val="24"/>
          <w:szCs w:val="24"/>
        </w:rPr>
        <w:t xml:space="preserve">作出</w:t>
      </w:r>
      <w:r>
        <w:rPr>
          <w:rFonts w:hint="eastAsia" w:cs="仿宋" w:asciiTheme="minorEastAsia" w:hAnsiTheme="minorEastAsia" w:eastAsiaTheme="minorEastAsia"/>
          <w:color w:val="000000" w:themeColor="text1"/>
          <w:sz w:val="24"/>
          <w:szCs w:val="24"/>
        </w:rPr>
        <w:t xml:space="preserve">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29.5质疑</w:t>
      </w:r>
      <w:r>
        <w:rPr>
          <w:rFonts w:hint="eastAsia" w:cs="仿宋" w:asciiTheme="minorEastAsia" w:hAnsiTheme="minorEastAsia" w:eastAsiaTheme="minorEastAsia"/>
          <w:color w:val="000000" w:themeColor="text1"/>
          <w:sz w:val="24"/>
          <w:szCs w:val="24"/>
        </w:rPr>
        <w:t xml:space="preserve">函必须</w:t>
      </w:r>
      <w:r>
        <w:rPr>
          <w:rFonts w:hint="eastAsia" w:cs="仿宋" w:asciiTheme="minorEastAsia" w:hAnsiTheme="minorEastAsia" w:eastAsiaTheme="minorEastAsia"/>
          <w:color w:val="000000" w:themeColor="text1"/>
          <w:sz w:val="24"/>
          <w:szCs w:val="24"/>
        </w:rPr>
        <w:t xml:space="preserve">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29.6本项目只接收以纸质原件形式送达的质疑，联系方式详见招标公告。</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29.7以下情形的质疑不予受理</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（1）质疑主体和内容不符合《政府采购质疑和投诉办法》第十一条、第十二条规定的；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（2）供应商超过法定质疑</w:t>
      </w:r>
      <w:r>
        <w:rPr>
          <w:rFonts w:hint="eastAsia" w:cs="仿宋" w:asciiTheme="minorEastAsia" w:hAnsiTheme="minorEastAsia" w:eastAsiaTheme="minorEastAsia"/>
          <w:color w:val="000000" w:themeColor="text1"/>
          <w:sz w:val="24"/>
          <w:szCs w:val="24"/>
        </w:rPr>
        <w:t xml:space="preserve">期提出</w:t>
      </w:r>
      <w:r>
        <w:rPr>
          <w:rFonts w:hint="eastAsia" w:cs="仿宋" w:asciiTheme="minorEastAsia" w:hAnsiTheme="minorEastAsia" w:eastAsiaTheme="minorEastAsia"/>
          <w:color w:val="000000" w:themeColor="text1"/>
          <w:sz w:val="24"/>
          <w:szCs w:val="24"/>
        </w:rPr>
        <w:t xml:space="preserve">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（3）供应商以传真、电子邮件等方式递交的非原件形式的；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（4）供应商组成联合体参加投标（响应）的，联合体中任何一方或多方未按要求签字、盖章、加盖公章的；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（5）供应商对自身提出质疑的。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30.合同授予标准</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30.1招标采购单位将把合同授予其投标文件在实质上响应招标文件要求且</w:t>
      </w:r>
      <w:r>
        <w:rPr>
          <w:rFonts w:hint="eastAsia" w:cs="仿宋" w:asciiTheme="minorEastAsia" w:hAnsiTheme="minorEastAsia" w:eastAsiaTheme="minorEastAsia"/>
          <w:color w:val="000000" w:themeColor="text1"/>
          <w:sz w:val="24"/>
          <w:szCs w:val="24"/>
        </w:rPr>
        <w:t xml:space="preserve">综合评分得分最高的投标人。</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31.中标通知书</w:t>
      </w:r>
      <w:r/>
    </w:p>
    <w:p>
      <w:pPr>
        <w:pStyle w:val="96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96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31.2中标通知书将成为合同的组成部分。</w:t>
      </w:r>
      <w:r/>
    </w:p>
    <w:p>
      <w:pPr>
        <w:pStyle w:val="96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31.3招标采购单位对未中标供应商不承担解释未中标原因的义务。</w:t>
      </w:r>
      <w:r/>
    </w:p>
    <w:p>
      <w:pPr>
        <w:spacing w:line="360" w:lineRule="auto"/>
        <w:rPr>
          <w:rFonts w:hint="eastAsia"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32.履约保证金</w:t>
      </w:r>
      <w:r/>
    </w:p>
    <w:p>
      <w:pPr>
        <w:pStyle w:val="96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32.1中标人应按规定提交履约保证金。</w:t>
      </w:r>
      <w:r/>
    </w:p>
    <w:p>
      <w:pPr>
        <w:pStyle w:val="96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32.2中标人必须在合同签订前按规定将履约保证金交至采购人指定账户。中标人未按上述要求提交履约保证金的,采购人可取消其中标资格。</w:t>
      </w:r>
      <w:r/>
    </w:p>
    <w:p>
      <w:pPr>
        <w:pStyle w:val="96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32.3履约保证金用以约束供应商在合同履行中的行为，弥补合同执行中由于自身行为可能给采购人带来的各种损失。</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33.合同的签订</w:t>
      </w:r>
      <w:r/>
    </w:p>
    <w:p>
      <w:pPr>
        <w:pStyle w:val="96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33.1中标人应按中标通知书中规定的时间和地点，由法定代表人或委托代理人与采购人代表签订合同。</w:t>
      </w:r>
      <w:r/>
    </w:p>
    <w:p>
      <w:pPr>
        <w:pStyle w:val="96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33.2签订合同及合同条款应以招标文件和中标人的投标文件及其澄清文件为依据。</w:t>
      </w:r>
      <w:r/>
    </w:p>
    <w:p>
      <w:pPr>
        <w:ind w:firstLine="431"/>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34.特别提醒</w:t>
      </w:r>
      <w:r/>
    </w:p>
    <w:p>
      <w:pPr>
        <w:pStyle w:val="96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34.1投标单位如有提供不实评审材料，弄虚作假者，一律作废标处理，该不良行为将予以公示。</w:t>
      </w:r>
      <w:r/>
    </w:p>
    <w:p>
      <w:pPr>
        <w:pStyle w:val="96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w:t>
      </w:r>
      <w:r>
        <w:rPr>
          <w:rFonts w:hint="eastAsia" w:cs="仿宋" w:asciiTheme="minorEastAsia" w:hAnsiTheme="minorEastAsia" w:eastAsiaTheme="minorEastAsia"/>
          <w:color w:val="000000" w:themeColor="text1"/>
          <w:szCs w:val="24"/>
        </w:rPr>
        <w:t xml:space="preserve">投标人自行承担。</w:t>
      </w:r>
      <w:r/>
    </w:p>
    <w:p>
      <w:pPr>
        <w:pStyle w:val="969"/>
        <w:ind w:firstLine="431"/>
        <w:jc w:val="both"/>
        <w:spacing w:line="360" w:lineRule="auto"/>
        <w:rPr>
          <w:rFonts w:hint="eastAsia" w:cs="仿宋" w:asciiTheme="minorEastAsia" w:hAnsiTheme="minorEastAsia" w:eastAsiaTheme="minorEastAsia"/>
          <w:color w:val="000000" w:themeColor="text1"/>
          <w:szCs w:val="24"/>
        </w:rPr>
      </w:pPr>
      <w:r/>
      <w:bookmarkStart w:id="39" w:name="_Toc409438818"/>
      <w:r>
        <w:rPr>
          <w:rFonts w:hint="eastAsia" w:cs="仿宋" w:asciiTheme="minorEastAsia" w:hAnsiTheme="minorEastAsia" w:eastAsiaTheme="minorEastAsia"/>
          <w:color w:val="000000" w:themeColor="text1"/>
          <w:szCs w:val="24"/>
        </w:rPr>
        <w:t xml:space="preserve">34.3政府</w:t>
      </w:r>
      <w:r>
        <w:rPr>
          <w:rFonts w:hint="eastAsia" w:cs="仿宋" w:asciiTheme="minorEastAsia" w:hAnsiTheme="minorEastAsia" w:eastAsiaTheme="minorEastAsia"/>
          <w:color w:val="000000" w:themeColor="text1"/>
          <w:szCs w:val="24"/>
        </w:rPr>
        <w:t xml:space="preserve">采购线上合同</w:t>
      </w:r>
      <w:r>
        <w:rPr>
          <w:rFonts w:hint="eastAsia" w:cs="仿宋" w:asciiTheme="minorEastAsia" w:hAnsiTheme="minorEastAsia" w:eastAsiaTheme="minorEastAsia"/>
          <w:color w:val="000000" w:themeColor="text1"/>
          <w:szCs w:val="24"/>
        </w:rPr>
        <w:t xml:space="preserve">信用融资功能告知提醒</w:t>
      </w:r>
      <w:r/>
    </w:p>
    <w:p>
      <w:pPr>
        <w:pStyle w:val="96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我区已正式启用“苏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”系统，目前已全面开通政府</w:t>
      </w:r>
      <w:r>
        <w:rPr>
          <w:rFonts w:hint="eastAsia" w:cs="仿宋" w:asciiTheme="minorEastAsia" w:hAnsiTheme="minorEastAsia" w:eastAsiaTheme="minorEastAsia"/>
          <w:color w:val="000000" w:themeColor="text1"/>
          <w:szCs w:val="24"/>
        </w:rPr>
        <w:t xml:space="preserve">采购线上合同</w:t>
      </w:r>
      <w:r>
        <w:rPr>
          <w:rFonts w:hint="eastAsia" w:cs="仿宋" w:asciiTheme="minorEastAsia" w:hAnsiTheme="minorEastAsia" w:eastAsiaTheme="minorEastAsia"/>
          <w:color w:val="000000" w:themeColor="text1"/>
          <w:szCs w:val="24"/>
        </w:rPr>
        <w:t xml:space="preserve">信用融资（以下简称“政采贷”）功能。成交供应商可凭政府采购合同在中征平台发起贷款申请贷款。</w:t>
      </w:r>
      <w:r/>
    </w:p>
    <w:p>
      <w:pPr>
        <w:pStyle w:val="96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34.3.1.“政采贷”业务流程</w:t>
      </w:r>
      <w:r/>
    </w:p>
    <w:p>
      <w:pPr>
        <w:pStyle w:val="969"/>
        <w:ind w:firstLine="431"/>
        <w:jc w:val="center"/>
        <w:spacing w:line="360" w:lineRule="auto"/>
        <w:rPr>
          <w:rFonts w:hint="eastAsia"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rPr>
        <mc:AlternateContent>
          <mc:Choice Requires="wpg">
            <w:drawing>
              <wp:inline xmlns:wp="http://schemas.openxmlformats.org/drawingml/2006/wordprocessingDrawing" distT="0" distB="0" distL="0" distR="0">
                <wp:extent cx="5141595" cy="1518285"/>
                <wp:effectExtent l="0" t="0" r="1905" b="5715"/>
                <wp:docPr id="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4"/>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4.8pt;height:119.5pt;mso-wrap-distance-left:0.0pt;mso-wrap-distance-top:0.0pt;mso-wrap-distance-right:0.0pt;mso-wrap-distance-bottom:0.0pt;" stroked="f">
                <v:path textboxrect="0,0,0,0"/>
                <v:imagedata r:id="rId14" o:title=""/>
              </v:shape>
            </w:pict>
          </mc:Fallback>
        </mc:AlternateContent>
      </w:r>
      <w:r/>
    </w:p>
    <w:p>
      <w:pPr>
        <w:pStyle w:val="96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34.3.2.操作流程</w:t>
      </w:r>
      <w:r/>
    </w:p>
    <w:p>
      <w:pPr>
        <w:pStyle w:val="96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合同公示时，当供应商向采购人报备有融资贷款需求，并且在中征平台已经发起贷款申请。采购人需要在合同公示第三点其他信息中供应商账户</w:t>
      </w:r>
      <w:r>
        <w:rPr>
          <w:rFonts w:hint="eastAsia" w:cs="仿宋" w:asciiTheme="minorEastAsia" w:hAnsiTheme="minorEastAsia" w:eastAsiaTheme="minorEastAsia"/>
          <w:color w:val="000000" w:themeColor="text1"/>
          <w:szCs w:val="24"/>
        </w:rPr>
        <w:t xml:space="preserve">信息第</w:t>
      </w:r>
      <w:r>
        <w:rPr>
          <w:rFonts w:hint="eastAsia" w:cs="仿宋" w:asciiTheme="minorEastAsia" w:hAnsiTheme="minorEastAsia" w:eastAsiaTheme="minorEastAsia"/>
          <w:color w:val="000000" w:themeColor="text1"/>
          <w:szCs w:val="24"/>
        </w:rPr>
        <w:t xml:space="preserve">一行【供应商是否融资】选项里面设置为“是”。</w:t>
      </w:r>
      <w:r/>
    </w:p>
    <w:p>
      <w:pPr>
        <w:pStyle w:val="96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34.3.3.常见问题</w:t>
      </w:r>
      <w:r/>
    </w:p>
    <w:p>
      <w:pPr>
        <w:pStyle w:val="96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Q1：哪些企业能申请“政采贷”？</w:t>
      </w:r>
      <w:r/>
    </w:p>
    <w:p>
      <w:pPr>
        <w:pStyle w:val="96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答：江苏省内采用国库集中支付的政府采购项目的中标供应商，可凭政府采购合同申请"</w:t>
      </w:r>
      <w:r>
        <w:rPr>
          <w:rFonts w:hint="eastAsia" w:cs="仿宋" w:asciiTheme="minorEastAsia" w:hAnsiTheme="minorEastAsia" w:eastAsiaTheme="minorEastAsia"/>
          <w:color w:val="000000" w:themeColor="text1"/>
          <w:szCs w:val="24"/>
        </w:rPr>
        <w:t xml:space="preserve">政采贷"</w:t>
      </w:r>
      <w:r>
        <w:rPr>
          <w:rFonts w:hint="eastAsia" w:cs="仿宋" w:asciiTheme="minorEastAsia" w:hAnsiTheme="minorEastAsia" w:eastAsiaTheme="minorEastAsia"/>
          <w:color w:val="000000" w:themeColor="text1"/>
          <w:szCs w:val="24"/>
        </w:rPr>
        <w:t xml:space="preserve">。</w:t>
      </w:r>
      <w:r/>
    </w:p>
    <w:p>
      <w:pPr>
        <w:pStyle w:val="96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Q2：供应商在哪里申请“政采贷”？</w:t>
      </w:r>
      <w:r/>
    </w:p>
    <w:p>
      <w:pPr>
        <w:pStyle w:val="96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答：中标供应商在“中征应收账款融资服务平台”（简称“中征平台”）上向意向银行发起融资申请</w:t>
      </w:r>
      <w:r/>
    </w:p>
    <w:p>
      <w:pPr>
        <w:pStyle w:val="96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Q3：中标供应商要注意什么？</w:t>
      </w:r>
      <w:r/>
    </w:p>
    <w:p>
      <w:pPr>
        <w:pStyle w:val="96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答：中标供应商要加强和采购单位的沟通协调，尽早确定融资需求。需要“政采贷”融资的，政府采购合同付款账号应当空置。</w:t>
      </w:r>
      <w:r/>
    </w:p>
    <w:p>
      <w:pPr>
        <w:pStyle w:val="96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Q4：采购单位要做什么？</w:t>
      </w:r>
      <w:r/>
    </w:p>
    <w:p>
      <w:pPr>
        <w:pStyle w:val="96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答：采购单位在“苏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”系统中公示政府采购合同时，</w:t>
      </w:r>
      <w:r>
        <w:rPr>
          <w:rFonts w:hint="eastAsia" w:cs="仿宋" w:asciiTheme="minorEastAsia" w:hAnsiTheme="minorEastAsia" w:eastAsiaTheme="minorEastAsia"/>
          <w:color w:val="000000" w:themeColor="text1"/>
          <w:szCs w:val="24"/>
        </w:rPr>
        <w:t xml:space="preserve">要勾选融资</w:t>
      </w:r>
      <w:r>
        <w:rPr>
          <w:rFonts w:hint="eastAsia" w:cs="仿宋" w:asciiTheme="minorEastAsia" w:hAnsiTheme="minorEastAsia" w:eastAsiaTheme="minorEastAsia"/>
          <w:color w:val="000000" w:themeColor="text1"/>
          <w:szCs w:val="24"/>
        </w:rPr>
        <w:t xml:space="preserve">标识，为中标供应商融资提供便利。如后续融资失败，采购单位要</w:t>
      </w:r>
      <w:r>
        <w:rPr>
          <w:rFonts w:hint="eastAsia" w:cs="仿宋" w:asciiTheme="minorEastAsia" w:hAnsiTheme="minorEastAsia" w:eastAsiaTheme="minorEastAsia"/>
          <w:color w:val="000000" w:themeColor="text1"/>
          <w:szCs w:val="24"/>
        </w:rPr>
        <w:t xml:space="preserve">及时维护</w:t>
      </w:r>
      <w:r>
        <w:rPr>
          <w:rFonts w:hint="eastAsia" w:cs="仿宋" w:asciiTheme="minorEastAsia" w:hAnsiTheme="minorEastAsia" w:eastAsiaTheme="minorEastAsia"/>
          <w:color w:val="000000" w:themeColor="text1"/>
          <w:szCs w:val="24"/>
        </w:rPr>
        <w:t xml:space="preserve">中标供应</w:t>
      </w:r>
      <w:r>
        <w:rPr>
          <w:rFonts w:hint="eastAsia" w:cs="仿宋" w:asciiTheme="minorEastAsia" w:hAnsiTheme="minorEastAsia" w:eastAsiaTheme="minorEastAsia"/>
          <w:color w:val="000000" w:themeColor="text1"/>
          <w:szCs w:val="24"/>
        </w:rPr>
        <w:t xml:space="preserve">商相关</w:t>
      </w:r>
      <w:r>
        <w:rPr>
          <w:rFonts w:hint="eastAsia" w:cs="仿宋" w:asciiTheme="minorEastAsia" w:hAnsiTheme="minorEastAsia" w:eastAsiaTheme="minorEastAsia"/>
          <w:color w:val="000000" w:themeColor="text1"/>
          <w:szCs w:val="24"/>
        </w:rPr>
        <w:t xml:space="preserve">账号信息，按时支付款项。</w:t>
      </w:r>
      <w:r/>
    </w:p>
    <w:p>
      <w:pPr>
        <w:pStyle w:val="96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Q5：“政采贷”融资失败怎么办？</w:t>
      </w:r>
      <w:r/>
    </w:p>
    <w:p>
      <w:pPr>
        <w:pStyle w:val="96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96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34.3.4.网址及联系方式</w:t>
      </w:r>
      <w:r/>
    </w:p>
    <w:p>
      <w:pPr>
        <w:pStyle w:val="96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政采贷</w:t>
      </w:r>
      <w:r>
        <w:rPr>
          <w:rFonts w:hint="eastAsia" w:cs="仿宋" w:asciiTheme="minorEastAsia" w:hAnsiTheme="minorEastAsia" w:eastAsiaTheme="minorEastAsia"/>
          <w:color w:val="000000" w:themeColor="text1"/>
          <w:szCs w:val="24"/>
        </w:rPr>
        <w:t xml:space="preserve">：http://www.ccgp-jiangsu.gov.cn/jiangsu/paying.html</w:t>
      </w:r>
      <w:r/>
    </w:p>
    <w:p>
      <w:pPr>
        <w:pStyle w:val="96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中征平台：https://www.crcrfsp.com/</w:t>
      </w:r>
      <w:r/>
    </w:p>
    <w:p>
      <w:pPr>
        <w:pStyle w:val="96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联系人：翟先生           联系电话：0523-88816349</w:t>
      </w:r>
      <w:r/>
    </w:p>
    <w:p>
      <w:pPr>
        <w:pStyle w:val="969"/>
        <w:numPr>
          <w:ilvl w:val="0"/>
          <w:numId w:val="3"/>
        </w:numPr>
        <w:ind w:firstLine="431"/>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b/>
          <w:color w:val="000000" w:themeColor="text1"/>
          <w:szCs w:val="24"/>
        </w:rPr>
        <w:t xml:space="preserve">货物（包含与货物相关的服务）的追加</w:t>
      </w:r>
      <w:r/>
    </w:p>
    <w:p>
      <w:pPr>
        <w:pStyle w:val="96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Start w:id="40" w:name="_Toc388026586"/>
      <w:r/>
      <w:bookmarkEnd w:id="39"/>
      <w:r>
        <w:rPr>
          <w:rFonts w:hint="eastAsia" w:cs="仿宋" w:asciiTheme="minorEastAsia" w:hAnsiTheme="minorEastAsia" w:eastAsiaTheme="minorEastAsia"/>
          <w:color w:val="000000" w:themeColor="text1"/>
          <w:szCs w:val="24"/>
        </w:rPr>
        <w:br w:type="page" w:clear="all"/>
      </w:r>
      <w:r/>
    </w:p>
    <w:p>
      <w:pPr>
        <w:pStyle w:val="96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969"/>
        <w:numPr>
          <w:ilvl w:val="0"/>
          <w:numId w:val="4"/>
        </w:numPr>
        <w:ind w:firstLine="0"/>
        <w:jc w:val="center"/>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 采购</w:t>
      </w:r>
      <w:bookmarkEnd w:id="40"/>
      <w:r>
        <w:rPr>
          <w:rFonts w:hint="eastAsia" w:cs="仿宋" w:asciiTheme="minorEastAsia" w:hAnsiTheme="minorEastAsia" w:eastAsiaTheme="minorEastAsia"/>
          <w:b/>
          <w:color w:val="000000" w:themeColor="text1"/>
          <w:sz w:val="32"/>
          <w:szCs w:val="32"/>
        </w:rPr>
        <w:t xml:space="preserve">需求</w:t>
      </w:r>
      <w:r/>
    </w:p>
    <w:p>
      <w:pPr>
        <w:pStyle w:val="823"/>
        <w:ind w:left="720" w:firstLine="0"/>
        <w:jc w:val="left"/>
        <w:spacing w:line="360" w:lineRule="auto"/>
        <w:tabs>
          <w:tab w:val="left" w:pos="1260" w:leader="none"/>
        </w:tabs>
        <w:rPr>
          <w:rFonts w:hint="eastAsia" w:ascii="宋体" w:hAnsi="宋体" w:eastAsia="宋体"/>
          <w:b/>
          <w:sz w:val="28"/>
          <w:szCs w:val="28"/>
        </w:rPr>
      </w:pPr>
      <w:r/>
      <w:bookmarkStart w:id="41" w:name="_Toc409438821"/>
      <w:r/>
      <w:bookmarkStart w:id="42" w:name="_Toc388026588"/>
      <w:r>
        <w:rPr>
          <w:rFonts w:hint="eastAsia" w:ascii="宋体" w:hAnsi="宋体" w:eastAsia="宋体"/>
          <w:b/>
          <w:sz w:val="28"/>
          <w:szCs w:val="28"/>
        </w:rPr>
        <w:t xml:space="preserve">一、采购需求</w:t>
      </w:r>
      <w:r/>
    </w:p>
    <w:tbl>
      <w:tblPr>
        <w:tblStyle w:val="993"/>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900"/>
        <w:gridCol w:w="4020"/>
        <w:gridCol w:w="1040"/>
        <w:gridCol w:w="2346"/>
      </w:tblGrid>
      <w:tr>
        <w:trPr>
          <w:jc w:val="center"/>
          <w:trHeight w:val="851" w:hRule="exact"/>
        </w:trPr>
        <w:tc>
          <w:tcPr>
            <w:tcW w:w="542"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品目号</w:t>
            </w:r>
            <w:r/>
          </w:p>
        </w:tc>
        <w:tc>
          <w:tcPr>
            <w:tcW w:w="2420"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626"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412"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交货地点</w:t>
            </w:r>
            <w:r/>
          </w:p>
        </w:tc>
      </w:tr>
      <w:tr>
        <w:trPr>
          <w:jc w:val="center"/>
          <w:trHeight w:val="851" w:hRule="exact"/>
        </w:trPr>
        <w:tc>
          <w:tcPr>
            <w:shd w:val="clear" w:color="auto" w:fill="ffffff"/>
            <w:tcW w:w="542" w:type="pct"/>
            <w:vAlign w:val="center"/>
            <w:textDirection w:val="lrTb"/>
            <w:noWrap w:val="false"/>
          </w:tcPr>
          <w:p>
            <w:pPr>
              <w:jc w:val="center"/>
              <w:spacing w:line="440" w:lineRule="exact"/>
              <w:rPr>
                <w:rFonts w:hint="eastAsia" w:ascii="宋体" w:hAnsi="宋体" w:eastAsia="宋体" w:cs="宋体"/>
                <w:sz w:val="24"/>
                <w:szCs w:val="24"/>
              </w:rPr>
            </w:pPr>
            <w:r/>
            <w:bookmarkStart w:id="43" w:name="_Hlk183174083"/>
            <w:r>
              <w:rPr>
                <w:rFonts w:hint="eastAsia" w:ascii="宋体" w:hAnsi="宋体" w:eastAsia="宋体" w:cs="宋体"/>
                <w:sz w:val="24"/>
                <w:szCs w:val="24"/>
              </w:rPr>
              <w:t xml:space="preserve">1</w:t>
            </w:r>
            <w:r/>
          </w:p>
        </w:tc>
        <w:tc>
          <w:tcPr>
            <w:shd w:val="clear" w:color="auto" w:fill="ffffff"/>
            <w:tcW w:w="2420"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便携式彩色多普勒超声诊断系统</w:t>
            </w:r>
            <w:r>
              <w:rPr>
                <w:rFonts w:hint="eastAsia" w:ascii="宋体" w:hAnsi="宋体" w:eastAsia="宋体" w:cs="宋体"/>
                <w:sz w:val="24"/>
                <w:szCs w:val="24"/>
              </w:rPr>
              <w:t xml:space="preserve"> </w:t>
            </w:r>
            <w:r/>
          </w:p>
        </w:tc>
        <w:tc>
          <w:tcPr>
            <w:shd w:val="clear" w:color="auto" w:fill="ffffff"/>
            <w:tcW w:w="626"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1台</w:t>
            </w:r>
            <w:r/>
          </w:p>
        </w:tc>
        <w:tc>
          <w:tcPr>
            <w:shd w:val="clear" w:color="auto" w:fill="ffffff"/>
            <w:tcW w:w="1412" w:type="pct"/>
            <w:vAlign w:val="center"/>
            <w:vMerge w:val="restart"/>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泰州市姜堰区</w:t>
            </w:r>
            <w:r>
              <w:rPr>
                <w:rFonts w:hint="eastAsia" w:ascii="宋体" w:hAnsi="宋体" w:eastAsia="宋体" w:cs="宋体"/>
                <w:sz w:val="24"/>
                <w:szCs w:val="24"/>
              </w:rPr>
              <w:t xml:space="preserve">大伦镇卫生院</w:t>
            </w:r>
            <w:r>
              <w:rPr>
                <w:rFonts w:hint="eastAsia" w:ascii="宋体" w:hAnsi="宋体" w:eastAsia="宋体" w:cs="宋体"/>
                <w:sz w:val="24"/>
                <w:szCs w:val="24"/>
              </w:rPr>
              <w:t xml:space="preserve">指定地点</w:t>
            </w:r>
            <w:r/>
          </w:p>
        </w:tc>
      </w:tr>
      <w:tr>
        <w:trPr>
          <w:jc w:val="center"/>
          <w:trHeight w:val="851" w:hRule="exact"/>
        </w:trPr>
        <w:tc>
          <w:tcPr>
            <w:shd w:val="clear" w:color="auto" w:fill="ffffff"/>
            <w:tcW w:w="542"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ffffff"/>
            <w:tcW w:w="2420"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超声多普勒血流检测仪</w:t>
            </w:r>
            <w:r/>
          </w:p>
        </w:tc>
        <w:tc>
          <w:tcPr>
            <w:shd w:val="clear" w:color="auto" w:fill="ffffff"/>
            <w:tcW w:w="626"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1台</w:t>
            </w:r>
            <w:r/>
          </w:p>
        </w:tc>
        <w:tc>
          <w:tcPr>
            <w:shd w:val="clear" w:color="auto" w:fill="ffffff"/>
            <w:tcW w:w="1412" w:type="pct"/>
            <w:vAlign w:val="center"/>
            <w:vMerge w:val="continue"/>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851" w:hRule="exact"/>
        </w:trPr>
        <w:tc>
          <w:tcPr>
            <w:shd w:val="clear" w:color="auto" w:fill="ffffff"/>
            <w:tcW w:w="542"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auto" w:fill="ffffff"/>
            <w:tcW w:w="2420"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震动感觉阈值检测仪 </w:t>
            </w:r>
            <w:r/>
          </w:p>
        </w:tc>
        <w:tc>
          <w:tcPr>
            <w:shd w:val="clear" w:color="auto" w:fill="ffffff"/>
            <w:tcW w:w="626"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1台</w:t>
            </w:r>
            <w:r/>
          </w:p>
        </w:tc>
        <w:tc>
          <w:tcPr>
            <w:shd w:val="clear" w:color="auto" w:fill="ffffff"/>
            <w:tcW w:w="1412" w:type="pct"/>
            <w:vAlign w:val="center"/>
            <w:vMerge w:val="continue"/>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851" w:hRule="exact"/>
        </w:trPr>
        <w:tc>
          <w:tcPr>
            <w:shd w:val="clear" w:color="auto" w:fill="ffffff"/>
            <w:tcW w:w="542"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shd w:val="clear" w:color="auto" w:fill="ffffff"/>
            <w:tcW w:w="2420"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眼底照相机 </w:t>
            </w:r>
            <w:r/>
          </w:p>
        </w:tc>
        <w:tc>
          <w:tcPr>
            <w:shd w:val="clear" w:color="auto" w:fill="ffffff"/>
            <w:tcW w:w="626"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1台</w:t>
            </w:r>
            <w:r/>
          </w:p>
        </w:tc>
        <w:tc>
          <w:tcPr>
            <w:shd w:val="clear" w:color="auto" w:fill="ffffff"/>
            <w:tcW w:w="1412" w:type="pct"/>
            <w:vAlign w:val="center"/>
            <w:vMerge w:val="continue"/>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bookmarkEnd w:id="43"/>
            <w:r/>
            <w:r/>
          </w:p>
        </w:tc>
      </w:tr>
    </w:tbl>
    <w:p>
      <w:pPr>
        <w:numPr>
          <w:ilvl w:val="0"/>
          <w:numId w:val="5"/>
        </w:numPr>
        <w:spacing w:line="520" w:lineRule="exact"/>
        <w:tabs>
          <w:tab w:val="left" w:pos="1260" w:leader="none"/>
        </w:tabs>
        <w:rPr>
          <w:rFonts w:hint="eastAsia" w:ascii="宋体" w:hAnsi="宋体" w:eastAsia="宋体"/>
          <w:b/>
          <w:sz w:val="24"/>
          <w:szCs w:val="24"/>
        </w:rPr>
      </w:pPr>
      <w:r>
        <w:rPr>
          <w:rFonts w:ascii="宋体" w:hAnsi="宋体" w:eastAsia="宋体"/>
          <w:b/>
          <w:sz w:val="24"/>
          <w:szCs w:val="24"/>
        </w:rPr>
        <w:br w:type="page" w:clear="all"/>
      </w:r>
      <w:r/>
    </w:p>
    <w:p>
      <w:pPr>
        <w:pStyle w:val="823"/>
        <w:numPr>
          <w:ilvl w:val="0"/>
          <w:numId w:val="6"/>
        </w:numPr>
        <w:jc w:val="left"/>
        <w:spacing w:line="360" w:lineRule="auto"/>
        <w:tabs>
          <w:tab w:val="left" w:pos="1260" w:leader="none"/>
        </w:tabs>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t xml:space="preserve">技术要求</w:t>
      </w:r>
      <w:r/>
    </w:p>
    <w:p>
      <w:pPr>
        <w:jc w:val="center"/>
        <w:spacing w:line="360" w:lineRule="auto"/>
        <w:rPr>
          <w:rFonts w:ascii="宋体" w:eastAsia="宋体"/>
          <w:b/>
          <w:position w:val="-10"/>
          <w:sz w:val="24"/>
        </w:rPr>
      </w:pPr>
      <w:r>
        <w:rPr>
          <w:rFonts w:hint="eastAsia" w:ascii="宋体" w:eastAsia="宋体"/>
          <w:b/>
          <w:position w:val="-10"/>
          <w:sz w:val="24"/>
        </w:rPr>
        <w:t xml:space="preserve">品目</w:t>
      </w:r>
      <w:r>
        <w:rPr>
          <w:rFonts w:hint="eastAsia" w:ascii="宋体" w:eastAsia="宋体"/>
          <w:b/>
          <w:position w:val="-10"/>
          <w:sz w:val="24"/>
        </w:rPr>
        <w:t xml:space="preserve">一</w:t>
      </w:r>
      <w:r>
        <w:rPr>
          <w:rFonts w:hint="eastAsia" w:ascii="宋体" w:eastAsia="宋体"/>
          <w:b/>
          <w:position w:val="-10"/>
          <w:sz w:val="24"/>
        </w:rPr>
        <w:t xml:space="preserve">：便携式彩色多普勒超声诊断系统</w:t>
      </w:r>
      <w:r/>
    </w:p>
    <w:p>
      <w:pPr>
        <w:spacing w:line="360" w:lineRule="auto"/>
        <w:rPr>
          <w:rFonts w:ascii="宋体" w:eastAsia="宋体"/>
          <w:b/>
          <w:position w:val="-10"/>
          <w:sz w:val="28"/>
          <w:szCs w:val="28"/>
        </w:rPr>
      </w:pPr>
      <w:r>
        <w:rPr>
          <w:rFonts w:hint="eastAsia" w:ascii="宋体" w:hAnsi="宋体" w:eastAsia="宋体"/>
          <w:b/>
          <w:position w:val="-10"/>
          <w:sz w:val="24"/>
          <w:szCs w:val="24"/>
        </w:rPr>
        <w:t xml:space="preserve">一、系统技术规格及概述：</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1.1、全数字化彩色多普勒超声诊断系统主机</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1.1.1、≥15英寸高清晰、医用专业彩色LED显示屏</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1.1.2、多倍波束合成</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1.1.3、</w:t>
      </w:r>
      <w:r>
        <w:rPr>
          <w:rFonts w:hint="eastAsia" w:ascii="宋体" w:hAnsi="宋体" w:eastAsia="宋体"/>
          <w:bCs/>
          <w:position w:val="-10"/>
          <w:sz w:val="24"/>
          <w:szCs w:val="24"/>
        </w:rPr>
        <w:t xml:space="preserve">二维灰阶</w:t>
      </w:r>
      <w:r>
        <w:rPr>
          <w:rFonts w:hint="eastAsia" w:ascii="宋体" w:hAnsi="宋体" w:eastAsia="宋体"/>
          <w:bCs/>
          <w:position w:val="-10"/>
          <w:sz w:val="24"/>
          <w:szCs w:val="24"/>
        </w:rPr>
        <w:t xml:space="preserve">模式</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1.1.4、组织谐波成像模式</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1.1.5、斑点抑制成像</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1.1.6、空间复合成像，支持≥3条偏转线</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1.1.7、频率复合成像</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1.1.8、彩色多普勒成像（包括彩色、能量、方向能量多普勒模式）</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1.1.9、高分辨率血流技术</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1.1.10、频谱多普勒成像（包括脉冲多普勒、高脉冲重复频率、可选配连续波多普勒）</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1.1.11、可支持组织多普勒成（包括TVI、TVD、TVM、TEI四种模式）</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1.1.12、可支持组织多普勒定量分析，支持≥8个取样点心肌速度定量分析，专用的TDI速度、应变、应变率定量分析工具</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1.1.13、M型模式、彩色M型模式</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1.1.14、可支持解剖M型模式，要求M</w:t>
      </w:r>
      <w:r>
        <w:rPr>
          <w:rFonts w:hint="eastAsia" w:ascii="宋体" w:hAnsi="宋体" w:eastAsia="宋体"/>
          <w:bCs/>
          <w:position w:val="-10"/>
          <w:sz w:val="24"/>
          <w:szCs w:val="24"/>
        </w:rPr>
        <w:t xml:space="preserve">取样线</w:t>
      </w:r>
      <w:r>
        <w:rPr>
          <w:rFonts w:hint="eastAsia" w:ascii="宋体" w:hAnsi="宋体" w:eastAsia="宋体"/>
          <w:bCs/>
          <w:position w:val="-10"/>
          <w:sz w:val="24"/>
          <w:szCs w:val="24"/>
        </w:rPr>
        <w:t xml:space="preserve">≥2条，能360度任意旋转角度，同时要求支持实时扫描以及后处理离线分析过程中重构M型图像</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1.1.15、组织特异性成像，根据不同组织特性，可选多种成像条件，提高图像质量</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1.1.16、可支持</w:t>
      </w:r>
      <w:r>
        <w:rPr>
          <w:rFonts w:hint="eastAsia" w:ascii="宋体" w:hAnsi="宋体" w:eastAsia="宋体"/>
          <w:bCs/>
          <w:position w:val="-10"/>
          <w:sz w:val="24"/>
          <w:szCs w:val="24"/>
        </w:rPr>
        <w:t xml:space="preserve">实时宽景成像</w:t>
      </w:r>
      <w:r>
        <w:rPr>
          <w:rFonts w:hint="eastAsia" w:ascii="宋体" w:hAnsi="宋体" w:eastAsia="宋体"/>
          <w:bCs/>
          <w:position w:val="-10"/>
          <w:sz w:val="24"/>
          <w:szCs w:val="24"/>
        </w:rPr>
        <w:t xml:space="preserve">，扫描速度提示，最大扫描长度≥90CM</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1.1.17、扩展成像技术</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1.1.18、实时双幅对比成像</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1.1.19、一键自动优化单元，可用于二维、彩色、频谱多普勒等多种模式，支持频谱多普勒角度自动优化和快速矫正</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1.1.20、智能血流跟踪，自动识别血流方向并自动调节取样框角度，无需手动操作</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1.1.21、一键实现全屏放大，支持≥2种不同成像区域的放大</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1.1.22、局部放大（支持前端、后端放大）</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1.1.23、二维和彩色多谱勒双幅显示</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1.1.24、穿刺针增强技术，具备双幅实时对比显示，增强前后效果，支持增强平面多角度可调</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1.1.25、支持超声教学软件（支持腹部、妇产、甲状腺、乳腺、睾丸、神经方面应用）</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1.1.26、支持多语言操作界面（包括键盘输入、注释、操作面板等）</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1.1.27、可支持曲线解剖M型模式，多段</w:t>
      </w:r>
      <w:r>
        <w:rPr>
          <w:rFonts w:hint="eastAsia" w:ascii="宋体" w:hAnsi="宋体" w:eastAsia="宋体"/>
          <w:bCs/>
          <w:position w:val="-10"/>
          <w:sz w:val="24"/>
          <w:szCs w:val="24"/>
        </w:rPr>
        <w:t xml:space="preserve">取样线</w:t>
      </w:r>
      <w:r>
        <w:rPr>
          <w:rFonts w:hint="eastAsia" w:ascii="宋体" w:hAnsi="宋体" w:eastAsia="宋体"/>
          <w:bCs/>
          <w:position w:val="-10"/>
          <w:sz w:val="24"/>
          <w:szCs w:val="24"/>
        </w:rPr>
        <w:t xml:space="preserve">可连续对心肌取样分析</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1.1.28、可支持低机械指数造影成像</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1.1.29、可支持弹性成像，要求具备组织硬度定量分析软件和压力曲线提示图标，并具备肿块周边组织弹性定量分析功能</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1.1.30、可支持3D/4D容积成像</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1.2、测量和分析:</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1.2.1、常规测量软件包，具备距离、面积、周长、体积、多普勒测量（自动或手动包络测量，自动计算测量参数）</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1.2.2、全科专用测量及分析软件包，包括腹部、妇科、产科、心脏、泌尿、小器官、儿科、血管、神经、急诊科，可自动生成报告</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1.2.3、心脏功能专用测量及分析，包括Simpson BP，Tei指数分析，PISA等</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1.2.4、Auto-LV自动左心室收缩功能自动测量</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1.2.5、可选配负荷超声心动分析软件包</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▲1.2.6、血管内中膜自动测量，可同时进行血管前、后壁的内中膜一段距离的自动描记、自动生成测量数据结果</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1.2.7、用户可自定义测量项目以及公式编辑</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1.3、电影回放及原始数据处理</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1.3.1、所有模式下支持手动、自动回放；支持向后存储和向前存储，时间长度可预置，向后存储≥5分钟的电影</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1.3.2、原始数据处理，可对回放图像进行参数调节</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▲1.3.3、动态和静态图像同步存储功能，存储或导出图像数据的同时不影响实时扫描</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1.4、检查存储和管理（内置超声工作站）</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1.4.1、≥800G硬盘 </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1.4.2、内置超声工作站</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1.4.3、多种图像导出格式：动态图像、静态图像以PC格式直接导出，无需特殊软件即能在普通PC 机上直接观看图像</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1.4.4、导出、备份图像数据资料同时，可进行实时检查，不影响检查操作</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1.4.5、一键存储至硬盘，突然关机或未结束检查关机资料不丢失</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r>
      <w:r/>
    </w:p>
    <w:p>
      <w:pPr>
        <w:spacing w:line="360" w:lineRule="auto"/>
        <w:rPr>
          <w:rFonts w:hint="eastAsia" w:ascii="宋体" w:hAnsi="宋体" w:eastAsia="宋体"/>
          <w:b/>
          <w:position w:val="-10"/>
          <w:sz w:val="24"/>
          <w:szCs w:val="24"/>
        </w:rPr>
      </w:pPr>
      <w:r>
        <w:rPr>
          <w:rFonts w:hint="eastAsia" w:ascii="宋体" w:hAnsi="宋体" w:eastAsia="宋体"/>
          <w:b/>
          <w:position w:val="-10"/>
          <w:sz w:val="24"/>
          <w:szCs w:val="24"/>
        </w:rPr>
        <w:t xml:space="preserve">二、 技术参数及要求</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1.1、系统通用功能</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1.1.1、监视器:≥15英寸高分辨率、医用专业彩色LED显示屏</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1.1.2、内置探头接口:1个（可扩展到3个） </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1.1.3、安全标准：符合商品安全质量要求</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1.1.4、整机重量≤6KG</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1.1.5、支持用户自定义按键数量≥4个</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1.2、探头规格</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1.2.1、频率: 宽频带变频探头,二维和彩色独立变频</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1.2.2、</w:t>
      </w:r>
      <w:r>
        <w:rPr>
          <w:rFonts w:hint="eastAsia" w:ascii="宋体" w:hAnsi="宋体" w:eastAsia="宋体"/>
          <w:bCs/>
          <w:position w:val="-10"/>
          <w:sz w:val="24"/>
          <w:szCs w:val="24"/>
        </w:rPr>
        <w:t xml:space="preserve">凸</w:t>
      </w:r>
      <w:r>
        <w:rPr>
          <w:rFonts w:hint="eastAsia" w:ascii="宋体" w:hAnsi="宋体" w:eastAsia="宋体"/>
          <w:bCs/>
          <w:position w:val="-10"/>
          <w:sz w:val="24"/>
          <w:szCs w:val="24"/>
        </w:rPr>
        <w:t xml:space="preserve">阵探头具有≥4种频率的变频范围，常规扫描角度≥70度，扩展后扫描角度≥90度</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1.2.3、线阵探头具有≥5种频率的变频范围，支持梯形扩展显示</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1.2.4、穿刺导向:可选配穿刺导向装置</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1.3、</w:t>
      </w:r>
      <w:r>
        <w:rPr>
          <w:rFonts w:hint="eastAsia" w:ascii="宋体" w:hAnsi="宋体" w:eastAsia="宋体"/>
          <w:bCs/>
          <w:position w:val="-10"/>
          <w:sz w:val="24"/>
          <w:szCs w:val="24"/>
        </w:rPr>
        <w:t xml:space="preserve">二维灰阶</w:t>
      </w:r>
      <w:r>
        <w:rPr>
          <w:rFonts w:hint="eastAsia" w:ascii="宋体" w:hAnsi="宋体" w:eastAsia="宋体"/>
          <w:bCs/>
          <w:position w:val="-10"/>
          <w:sz w:val="24"/>
          <w:szCs w:val="24"/>
        </w:rPr>
        <w:t xml:space="preserve">模式</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1.3.1、数字化声</w:t>
      </w:r>
      <w:r>
        <w:rPr>
          <w:rFonts w:hint="eastAsia" w:ascii="宋体" w:hAnsi="宋体" w:eastAsia="宋体"/>
          <w:bCs/>
          <w:position w:val="-10"/>
          <w:sz w:val="24"/>
          <w:szCs w:val="24"/>
        </w:rPr>
        <w:t xml:space="preserve">束形成器</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1.3.2、数字化全程动态聚焦，数字化可变孔径及动态变迹，A/D≥12 bit</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1.3.3、接收方式：发射、接收通道≥1024，多倍信号并行处理</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1.3.4、扫描线：每帧线密度≥230超声线</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1.3.5、</w:t>
      </w:r>
      <w:r>
        <w:rPr>
          <w:rFonts w:hint="eastAsia" w:ascii="宋体" w:hAnsi="宋体" w:eastAsia="宋体"/>
          <w:bCs/>
          <w:position w:val="-10"/>
          <w:sz w:val="24"/>
          <w:szCs w:val="24"/>
        </w:rPr>
        <w:t xml:space="preserve">发射声</w:t>
      </w:r>
      <w:r>
        <w:rPr>
          <w:rFonts w:hint="eastAsia" w:ascii="宋体" w:hAnsi="宋体" w:eastAsia="宋体"/>
          <w:bCs/>
          <w:position w:val="-10"/>
          <w:sz w:val="24"/>
          <w:szCs w:val="24"/>
        </w:rPr>
        <w:t xml:space="preserve">束聚焦：发射≥4段</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1.3.6、扫描频率：</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电子</w:t>
      </w:r>
      <w:r>
        <w:rPr>
          <w:rFonts w:hint="eastAsia" w:ascii="宋体" w:hAnsi="宋体" w:eastAsia="宋体"/>
          <w:bCs/>
          <w:position w:val="-10"/>
          <w:sz w:val="24"/>
          <w:szCs w:val="24"/>
        </w:rPr>
        <w:t xml:space="preserve">凸</w:t>
      </w:r>
      <w:r>
        <w:rPr>
          <w:rFonts w:hint="eastAsia" w:ascii="宋体" w:hAnsi="宋体" w:eastAsia="宋体"/>
          <w:bCs/>
          <w:position w:val="-10"/>
          <w:sz w:val="24"/>
          <w:szCs w:val="24"/>
        </w:rPr>
        <w:t xml:space="preserve">阵：超声频率</w:t>
      </w:r>
      <w:r>
        <w:rPr>
          <w:rFonts w:hint="eastAsia" w:ascii="宋体" w:hAnsi="宋体" w:eastAsia="宋体"/>
          <w:bCs/>
          <w:position w:val="-10"/>
          <w:sz w:val="24"/>
          <w:szCs w:val="24"/>
        </w:rPr>
        <w:tab/>
        <w:t xml:space="preserve">2.5- 6.0 MHz</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电子线阵：超声频率6.0-11.0MHz</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1.3.7、二</w:t>
      </w:r>
      <w:r>
        <w:rPr>
          <w:rFonts w:hint="eastAsia" w:ascii="宋体" w:hAnsi="宋体" w:eastAsia="宋体"/>
          <w:bCs/>
          <w:position w:val="-10"/>
          <w:sz w:val="24"/>
          <w:szCs w:val="24"/>
        </w:rPr>
        <w:t xml:space="preserve">维独立角度</w:t>
      </w:r>
      <w:r>
        <w:rPr>
          <w:rFonts w:hint="eastAsia" w:ascii="宋体" w:hAnsi="宋体" w:eastAsia="宋体"/>
          <w:bCs/>
          <w:position w:val="-10"/>
          <w:sz w:val="24"/>
          <w:szCs w:val="24"/>
        </w:rPr>
        <w:t xml:space="preserve">偏转</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1.3.8、预设条件：针对不同的检查脏器，预置最佳图像检查条件</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1.3.9、最大显示深度:≥30cm </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1.3.10、</w:t>
      </w:r>
      <w:r>
        <w:rPr>
          <w:rFonts w:hint="eastAsia" w:ascii="宋体" w:hAnsi="宋体" w:eastAsia="宋体"/>
          <w:bCs/>
          <w:position w:val="-10"/>
          <w:sz w:val="24"/>
          <w:szCs w:val="24"/>
        </w:rPr>
        <w:t xml:space="preserve">最大帧率</w:t>
      </w:r>
      <w:r>
        <w:rPr>
          <w:rFonts w:hint="eastAsia" w:ascii="宋体" w:hAnsi="宋体" w:eastAsia="宋体"/>
          <w:bCs/>
          <w:position w:val="-10"/>
          <w:sz w:val="24"/>
          <w:szCs w:val="24"/>
        </w:rPr>
        <w:t xml:space="preserve">: ≥240 帧/秒</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1.3.11、TGC: ≥8段</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1.3.12、LGC: ≥6段</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1.3.13、</w:t>
      </w:r>
      <w:r>
        <w:rPr>
          <w:rFonts w:hint="eastAsia" w:ascii="宋体" w:hAnsi="宋体" w:eastAsia="宋体"/>
          <w:bCs/>
          <w:position w:val="-10"/>
          <w:sz w:val="24"/>
          <w:szCs w:val="24"/>
        </w:rPr>
        <w:t xml:space="preserve">二维灰阶</w:t>
      </w:r>
      <w:r>
        <w:rPr>
          <w:rFonts w:hint="eastAsia" w:ascii="宋体" w:hAnsi="宋体" w:eastAsia="宋体"/>
          <w:bCs/>
          <w:position w:val="-10"/>
          <w:sz w:val="24"/>
          <w:szCs w:val="24"/>
        </w:rPr>
        <w:t xml:space="preserve">：≥256</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▲1.3.14、动态范围: 30-160db（可视可调，提供图片证明）</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1.3.15、增益调节: B/M/D分别独立可调，≥100</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1.3.16、</w:t>
      </w:r>
      <w:r>
        <w:rPr>
          <w:rFonts w:hint="eastAsia" w:ascii="宋体" w:hAnsi="宋体" w:eastAsia="宋体"/>
          <w:bCs/>
          <w:position w:val="-10"/>
          <w:sz w:val="24"/>
          <w:szCs w:val="24"/>
        </w:rPr>
        <w:t xml:space="preserve">伪彩图谱</w:t>
      </w:r>
      <w:r>
        <w:rPr>
          <w:rFonts w:hint="eastAsia" w:ascii="宋体" w:hAnsi="宋体" w:eastAsia="宋体"/>
          <w:bCs/>
          <w:position w:val="-10"/>
          <w:sz w:val="24"/>
          <w:szCs w:val="24"/>
        </w:rPr>
        <w:t xml:space="preserve">: ≥8种</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1.3.17、体位标记：≥120种，可以自定义注释</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1.3.18、扫描帧率：诊断深度18cm，全视野时≥51帧／秒</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1.4、彩色多普勒模式</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1.4.1、包括速度、速度方差、能量、方向能量显示等</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1.4.2、显示方式：B/C、B/C/M、B/POWER、B/C/PW</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1.4.3、取样框偏转: ≥±20度 </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1.4.4、</w:t>
      </w:r>
      <w:r>
        <w:rPr>
          <w:rFonts w:hint="eastAsia" w:ascii="宋体" w:hAnsi="宋体" w:eastAsia="宋体"/>
          <w:bCs/>
          <w:position w:val="-10"/>
          <w:sz w:val="24"/>
          <w:szCs w:val="24"/>
        </w:rPr>
        <w:t xml:space="preserve">最大帧率</w:t>
      </w:r>
      <w:r>
        <w:rPr>
          <w:rFonts w:hint="eastAsia" w:ascii="宋体" w:hAnsi="宋体" w:eastAsia="宋体"/>
          <w:bCs/>
          <w:position w:val="-10"/>
          <w:sz w:val="24"/>
          <w:szCs w:val="24"/>
        </w:rPr>
        <w:t xml:space="preserve">: ≥240 帧/秒</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▲1.4.5、支持B/C 同宽（提供图片证明）</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1.5、频谱多普勒模式</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1.5.1、包括脉冲多普勒、高脉冲重复频率、连续多普勒</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1.5.2、显示方式：B, PW，B/PW, B/C/PW, B/CW, B/C/CW等等</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1.5.3、显示控制：反转、零移位、B刷新、D扩展、B/D扩展等</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1.5.4、最大速度: ≥9.21m/s（连续多普勒速度: ≥35m/s）</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1.5.5、最小速度: ≤1 mm /s（非噪声信号）</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1.5.6、取样容积: 0.5-20mm </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1.5.7、偏转角度: ≥±20度 (线阵探头)</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1.5.8、零位移动：≥8 级</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1.5.9、快速角度校正</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1.5.10、支持频谱自动测量</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1.6、连通性</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1.6.1、参考信号:  心电，并支持心电触发控制</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1.6.2、支持USB储存介质一键存储普通PC格式文件，无需转换</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1.6.3、选配音视频扩展模块：1个音频输入、1个视频输入（预留）、1个S-Video（预留）</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1.6.4、音视频输出：S-Video</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1.6.5、有线网络接口1个</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1.7、外设和附件</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1.7.1、可拆卸锂电池</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1.7.2、储物设备</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1.7.3、专用旅行箱，可装载主机、探头及相关备件</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r>
      <w:r/>
    </w:p>
    <w:p>
      <w:pPr>
        <w:spacing w:line="360" w:lineRule="auto"/>
        <w:rPr>
          <w:rFonts w:hint="eastAsia" w:ascii="宋体" w:hAnsi="宋体" w:eastAsia="宋体"/>
          <w:b/>
          <w:position w:val="-10"/>
          <w:sz w:val="24"/>
          <w:szCs w:val="24"/>
        </w:rPr>
      </w:pPr>
      <w:r>
        <w:rPr>
          <w:rFonts w:hint="eastAsia" w:ascii="宋体" w:hAnsi="宋体" w:eastAsia="宋体"/>
          <w:b/>
          <w:position w:val="-10"/>
          <w:sz w:val="24"/>
          <w:szCs w:val="24"/>
        </w:rPr>
        <w:t xml:space="preserve">三、配置要求</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1、全身应用彩色多普勒超声诊断仪主机1台</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2、探头：</w:t>
      </w:r>
      <w:r>
        <w:rPr>
          <w:rFonts w:hint="eastAsia" w:ascii="宋体" w:hAnsi="宋体" w:eastAsia="宋体"/>
          <w:bCs/>
          <w:position w:val="-10"/>
          <w:sz w:val="24"/>
          <w:szCs w:val="24"/>
        </w:rPr>
        <w:t xml:space="preserve">凸</w:t>
      </w:r>
      <w:r>
        <w:rPr>
          <w:rFonts w:hint="eastAsia" w:ascii="宋体" w:hAnsi="宋体" w:eastAsia="宋体"/>
          <w:bCs/>
          <w:position w:val="-10"/>
          <w:sz w:val="24"/>
          <w:szCs w:val="24"/>
        </w:rPr>
        <w:t xml:space="preserve">阵探头1个，线阵探头1个</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3、拉杆箱：1个</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r>
      <w:r/>
    </w:p>
    <w:p>
      <w:pPr>
        <w:spacing w:line="360" w:lineRule="auto"/>
        <w:rPr>
          <w:rFonts w:hint="eastAsia" w:ascii="宋体" w:hAnsi="宋体" w:eastAsia="宋体"/>
          <w:b/>
          <w:position w:val="-10"/>
          <w:sz w:val="24"/>
          <w:szCs w:val="24"/>
        </w:rPr>
      </w:pPr>
      <w:r>
        <w:rPr>
          <w:rFonts w:hint="eastAsia" w:ascii="宋体" w:hAnsi="宋体" w:eastAsia="宋体"/>
          <w:b/>
          <w:position w:val="-10"/>
          <w:sz w:val="24"/>
          <w:szCs w:val="24"/>
        </w:rPr>
        <w:t xml:space="preserve">四、安全和认证</w:t>
      </w:r>
      <w:r/>
    </w:p>
    <w:p>
      <w:pP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经CE、SFDA认证</w:t>
      </w:r>
      <w:r/>
    </w:p>
    <w:p>
      <w:pPr>
        <w:jc w:val="center"/>
        <w:spacing w:line="360" w:lineRule="auto"/>
        <w:rPr>
          <w:rFonts w:ascii="宋体" w:eastAsia="宋体"/>
          <w:b/>
          <w:position w:val="-10"/>
          <w:sz w:val="24"/>
        </w:rPr>
      </w:pPr>
      <w:r>
        <w:rPr>
          <w:rFonts w:ascii="宋体" w:hAnsi="宋体" w:eastAsia="宋体"/>
          <w:bCs/>
          <w:position w:val="-10"/>
          <w:sz w:val="24"/>
          <w:szCs w:val="24"/>
        </w:rPr>
        <w:br w:type="page" w:clear="all"/>
      </w:r>
      <w:r>
        <w:rPr>
          <w:rFonts w:hint="eastAsia" w:ascii="宋体" w:eastAsia="宋体"/>
          <w:b/>
          <w:position w:val="-10"/>
          <w:sz w:val="24"/>
        </w:rPr>
        <w:t xml:space="preserve">品目</w:t>
      </w:r>
      <w:r>
        <w:rPr>
          <w:rFonts w:hint="eastAsia" w:ascii="宋体" w:eastAsia="宋体"/>
          <w:b/>
          <w:position w:val="-10"/>
          <w:sz w:val="24"/>
        </w:rPr>
        <w:t xml:space="preserve">二</w:t>
      </w:r>
      <w:r>
        <w:rPr>
          <w:rFonts w:hint="eastAsia" w:ascii="宋体" w:eastAsia="宋体"/>
          <w:b/>
          <w:position w:val="-10"/>
          <w:sz w:val="24"/>
        </w:rPr>
        <w:t xml:space="preserve">：超声多普勒血流检测仪</w:t>
      </w:r>
      <w:r/>
    </w:p>
    <w:p>
      <w:pPr>
        <w:spacing w:line="360" w:lineRule="auto"/>
        <w:rPr>
          <w:rFonts w:ascii="宋体" w:eastAsia="宋体"/>
          <w:bCs/>
          <w:position w:val="-10"/>
          <w:sz w:val="24"/>
        </w:rPr>
      </w:pPr>
      <w:r>
        <w:rPr>
          <w:rFonts w:hint="eastAsia" w:ascii="宋体" w:eastAsia="宋体"/>
          <w:bCs/>
          <w:position w:val="-10"/>
          <w:sz w:val="24"/>
        </w:rPr>
        <w:t xml:space="preserve">1、设备为超声多普勒原理，用于对外周血管（血流）进行检查，符合四肢彩色多普勒血流图收费标准。</w:t>
      </w:r>
      <w:r/>
    </w:p>
    <w:p>
      <w:pPr>
        <w:spacing w:line="360" w:lineRule="auto"/>
        <w:rPr>
          <w:rFonts w:ascii="宋体" w:eastAsia="宋体"/>
          <w:bCs/>
          <w:position w:val="-10"/>
          <w:sz w:val="24"/>
        </w:rPr>
      </w:pPr>
      <w:r>
        <w:rPr>
          <w:rFonts w:hint="eastAsia" w:ascii="宋体" w:eastAsia="宋体"/>
          <w:bCs/>
          <w:position w:val="-10"/>
          <w:sz w:val="24"/>
        </w:rPr>
        <w:t xml:space="preserve">2、主机可与软件连接同步显示波形图情况，可以支持病人信息录入，对病人数据管理功能。每组检查包含6条及以上彩色多普勒血流波形及ABI，值等所有的完整检查数据，资料完整储存, 以便日后查询。</w:t>
      </w:r>
      <w:r/>
    </w:p>
    <w:p>
      <w:pPr>
        <w:spacing w:line="360" w:lineRule="auto"/>
        <w:rPr>
          <w:rFonts w:ascii="宋体" w:eastAsia="宋体"/>
          <w:bCs/>
          <w:position w:val="-10"/>
          <w:sz w:val="24"/>
        </w:rPr>
      </w:pPr>
      <w:r>
        <w:rPr>
          <w:rFonts w:hint="eastAsia" w:ascii="宋体" w:eastAsia="宋体"/>
          <w:bCs/>
          <w:position w:val="-10"/>
          <w:sz w:val="24"/>
        </w:rPr>
        <w:t xml:space="preserve">3、检测项目包含：上肢/下肢/足趾动静脉测量，踝臂指数 (ABI)，运动ABI、</w:t>
      </w:r>
      <w:r>
        <w:rPr>
          <w:rFonts w:hint="eastAsia" w:ascii="宋体" w:eastAsia="宋体"/>
          <w:bCs/>
          <w:position w:val="-10"/>
          <w:sz w:val="24"/>
        </w:rPr>
        <w:t xml:space="preserve">趾</w:t>
      </w:r>
      <w:r>
        <w:rPr>
          <w:rFonts w:hint="eastAsia" w:ascii="宋体" w:eastAsia="宋体"/>
          <w:bCs/>
          <w:position w:val="-10"/>
          <w:sz w:val="24"/>
        </w:rPr>
        <w:t xml:space="preserve">臂指数 (TBI)。</w:t>
      </w:r>
      <w:r/>
    </w:p>
    <w:p>
      <w:pPr>
        <w:spacing w:line="360" w:lineRule="auto"/>
        <w:rPr>
          <w:rFonts w:ascii="宋体" w:eastAsia="宋体"/>
          <w:bCs/>
          <w:position w:val="-10"/>
          <w:sz w:val="24"/>
        </w:rPr>
      </w:pPr>
      <w:r>
        <w:rPr>
          <w:rFonts w:hint="eastAsia" w:ascii="宋体" w:eastAsia="宋体"/>
          <w:bCs/>
          <w:position w:val="-10"/>
          <w:sz w:val="24"/>
        </w:rPr>
        <w:t xml:space="preserve">4、▲主机具有自动充放气系统和≥2通道袖带选择装置，可同时测量≥2路血压，自动测量并记录收缩压。</w:t>
      </w:r>
      <w:r/>
    </w:p>
    <w:p>
      <w:pPr>
        <w:spacing w:line="360" w:lineRule="auto"/>
        <w:rPr>
          <w:rFonts w:ascii="宋体" w:eastAsia="宋体"/>
          <w:bCs/>
          <w:position w:val="-10"/>
          <w:sz w:val="24"/>
        </w:rPr>
      </w:pPr>
      <w:r>
        <w:rPr>
          <w:rFonts w:hint="eastAsia" w:ascii="宋体" w:eastAsia="宋体"/>
          <w:bCs/>
          <w:position w:val="-10"/>
          <w:sz w:val="24"/>
        </w:rPr>
        <w:t xml:space="preserve">5、▲主机具有无线控制器1个，可操控检查全过程。</w:t>
      </w:r>
      <w:r/>
    </w:p>
    <w:p>
      <w:pPr>
        <w:spacing w:line="360" w:lineRule="auto"/>
        <w:rPr>
          <w:rFonts w:ascii="宋体" w:eastAsia="宋体"/>
          <w:bCs/>
          <w:position w:val="-10"/>
          <w:sz w:val="24"/>
        </w:rPr>
      </w:pPr>
      <w:r>
        <w:rPr>
          <w:rFonts w:hint="eastAsia" w:ascii="宋体" w:eastAsia="宋体"/>
          <w:bCs/>
          <w:position w:val="-10"/>
          <w:sz w:val="24"/>
        </w:rPr>
        <w:t xml:space="preserve">6、测量范围：双向彩色连续波（CW），8MHz不窄于10-50cm/s；工作频率：8MHz±10%。</w:t>
      </w:r>
      <w:r/>
    </w:p>
    <w:p>
      <w:pPr>
        <w:spacing w:line="360" w:lineRule="auto"/>
        <w:rPr>
          <w:rFonts w:ascii="宋体" w:eastAsia="宋体"/>
          <w:bCs/>
          <w:position w:val="-10"/>
          <w:sz w:val="24"/>
        </w:rPr>
      </w:pPr>
      <w:r>
        <w:rPr>
          <w:rFonts w:hint="eastAsia" w:ascii="宋体" w:eastAsia="宋体"/>
          <w:bCs/>
          <w:position w:val="-10"/>
          <w:sz w:val="24"/>
        </w:rPr>
        <w:t xml:space="preserve">7、探头具有快捷按钮，可一键控制</w:t>
      </w:r>
      <w:r>
        <w:rPr>
          <w:rFonts w:hint="eastAsia" w:ascii="宋体" w:eastAsia="宋体"/>
          <w:bCs/>
          <w:position w:val="-10"/>
          <w:sz w:val="24"/>
        </w:rPr>
        <w:t xml:space="preserve">检测全</w:t>
      </w:r>
      <w:r>
        <w:rPr>
          <w:rFonts w:hint="eastAsia" w:ascii="宋体" w:eastAsia="宋体"/>
          <w:bCs/>
          <w:position w:val="-10"/>
          <w:sz w:val="24"/>
        </w:rPr>
        <w:t xml:space="preserve">过程；可以自动采集波形，自动存储波形，自动运算数据等数字化功能。</w:t>
      </w:r>
      <w:r/>
    </w:p>
    <w:p>
      <w:pPr>
        <w:spacing w:line="360" w:lineRule="auto"/>
        <w:rPr>
          <w:rFonts w:ascii="宋体" w:eastAsia="宋体"/>
          <w:bCs/>
          <w:position w:val="-10"/>
          <w:sz w:val="24"/>
        </w:rPr>
      </w:pPr>
      <w:r>
        <w:rPr>
          <w:rFonts w:hint="eastAsia" w:ascii="宋体" w:eastAsia="宋体"/>
          <w:bCs/>
          <w:position w:val="-10"/>
          <w:sz w:val="24"/>
        </w:rPr>
        <w:t xml:space="preserve">8、配有专用的Windows中文彩色血管分析软件；病案管理功能：可对病例进行搜索、统计、排序、编辑等一系列操作管理。</w:t>
      </w:r>
      <w:r/>
    </w:p>
    <w:p>
      <w:pPr>
        <w:spacing w:line="360" w:lineRule="auto"/>
        <w:rPr>
          <w:rFonts w:ascii="宋体" w:eastAsia="宋体"/>
          <w:bCs/>
          <w:position w:val="-10"/>
          <w:sz w:val="24"/>
        </w:rPr>
      </w:pPr>
      <w:r>
        <w:rPr>
          <w:rFonts w:hint="eastAsia" w:ascii="宋体" w:eastAsia="宋体"/>
          <w:bCs/>
          <w:position w:val="-10"/>
          <w:sz w:val="24"/>
        </w:rPr>
        <w:t xml:space="preserve">9、自定义报告单模板功能：多种报告单模板选择，可根据临床检测需求选择性显示ABI、TBI、脉搏波形、心率、血压（收缩压、舒张压、平均压、脉压差）等参数。</w:t>
      </w:r>
      <w:r/>
    </w:p>
    <w:p>
      <w:pPr>
        <w:spacing w:line="360" w:lineRule="auto"/>
        <w:rPr>
          <w:rFonts w:ascii="宋体" w:eastAsia="宋体"/>
          <w:bCs/>
          <w:position w:val="-10"/>
          <w:sz w:val="24"/>
        </w:rPr>
      </w:pPr>
      <w:r>
        <w:rPr>
          <w:rFonts w:hint="eastAsia" w:ascii="宋体" w:eastAsia="宋体"/>
          <w:bCs/>
          <w:position w:val="-10"/>
          <w:sz w:val="24"/>
        </w:rPr>
        <w:t xml:space="preserve">10、▲具有ABI模式和PVR模式，ABI专项检查程序，检查程序自由设定。</w:t>
      </w:r>
      <w:r/>
    </w:p>
    <w:p>
      <w:pPr>
        <w:spacing w:line="360" w:lineRule="auto"/>
        <w:rPr>
          <w:rFonts w:ascii="宋体" w:eastAsia="宋体"/>
          <w:bCs/>
          <w:position w:val="-10"/>
          <w:sz w:val="24"/>
        </w:rPr>
      </w:pPr>
      <w:r>
        <w:rPr>
          <w:rFonts w:hint="eastAsia" w:ascii="宋体" w:eastAsia="宋体"/>
          <w:bCs/>
          <w:position w:val="-10"/>
          <w:sz w:val="24"/>
        </w:rPr>
        <w:t xml:space="preserve">11、脉率测量范围：35～185bpm，精度：±2 bpm。 </w:t>
      </w:r>
      <w:r/>
    </w:p>
    <w:p>
      <w:pPr>
        <w:spacing w:line="360" w:lineRule="auto"/>
        <w:rPr>
          <w:rFonts w:ascii="宋体" w:eastAsia="宋体"/>
          <w:bCs/>
          <w:position w:val="-10"/>
          <w:sz w:val="24"/>
        </w:rPr>
      </w:pPr>
      <w:r>
        <w:rPr>
          <w:rFonts w:hint="eastAsia" w:ascii="宋体" w:eastAsia="宋体"/>
          <w:bCs/>
          <w:position w:val="-10"/>
          <w:sz w:val="24"/>
        </w:rPr>
        <w:t xml:space="preserve">12、血压测量范围：0-300mmHg，最大误差±3mmHg。 </w:t>
      </w:r>
      <w:r/>
    </w:p>
    <w:p>
      <w:pPr>
        <w:spacing w:line="360" w:lineRule="auto"/>
        <w:rPr>
          <w:rFonts w:ascii="宋体" w:eastAsia="宋体"/>
          <w:bCs/>
          <w:position w:val="-10"/>
          <w:sz w:val="24"/>
        </w:rPr>
      </w:pPr>
      <w:r>
        <w:rPr>
          <w:rFonts w:hint="eastAsia" w:ascii="宋体" w:eastAsia="宋体"/>
          <w:bCs/>
          <w:position w:val="-10"/>
          <w:sz w:val="24"/>
        </w:rPr>
        <w:t xml:space="preserve">13、压力安全：＞280mmHg自动放气；＞100mmHg超过3分钟自动放气。</w:t>
      </w:r>
      <w:r/>
    </w:p>
    <w:p>
      <w:pPr>
        <w:spacing w:line="360" w:lineRule="auto"/>
        <w:rPr>
          <w:rFonts w:ascii="宋体" w:eastAsia="宋体"/>
          <w:bCs/>
          <w:position w:val="-10"/>
          <w:sz w:val="24"/>
        </w:rPr>
      </w:pPr>
      <w:r>
        <w:rPr>
          <w:rFonts w:hint="eastAsia" w:ascii="宋体" w:eastAsia="宋体"/>
          <w:bCs/>
          <w:position w:val="-10"/>
          <w:sz w:val="24"/>
        </w:rPr>
        <w:t xml:space="preserve">13、放气速度： 2.5mmHg/秒。</w:t>
      </w:r>
      <w:r/>
    </w:p>
    <w:p>
      <w:pPr>
        <w:spacing w:line="360" w:lineRule="auto"/>
        <w:rPr>
          <w:rFonts w:ascii="宋体" w:eastAsia="宋体"/>
          <w:bCs/>
          <w:position w:val="-10"/>
          <w:sz w:val="24"/>
        </w:rPr>
      </w:pPr>
      <w:r>
        <w:rPr>
          <w:rFonts w:hint="eastAsia" w:ascii="宋体" w:eastAsia="宋体"/>
          <w:bCs/>
          <w:position w:val="-10"/>
          <w:sz w:val="24"/>
        </w:rPr>
        <w:t xml:space="preserve">14、★配置要求：无线控制器1个；8MHz多普勒探头1个，上臂袖带2条，楔形踝部袖带2条，医疗移动式工作站1套（含电脑、打印机、专用移动台车）。</w:t>
      </w:r>
      <w:r/>
    </w:p>
    <w:p>
      <w:pPr>
        <w:spacing w:line="360" w:lineRule="auto"/>
        <w:rPr>
          <w:rFonts w:ascii="宋体" w:eastAsia="宋体"/>
          <w:bCs/>
          <w:position w:val="-10"/>
          <w:sz w:val="24"/>
        </w:rPr>
      </w:pPr>
      <w:r>
        <w:rPr>
          <w:rFonts w:hint="eastAsia" w:ascii="宋体" w:eastAsia="宋体"/>
          <w:bCs/>
          <w:position w:val="-10"/>
          <w:sz w:val="24"/>
        </w:rPr>
        <w:t xml:space="preserve">15、▲数据能够自动上传至符合“两筛三防”要求的慢病管理系统，免费提供接口协议，可以和HIS系统实现对接。</w:t>
      </w:r>
      <w:r/>
    </w:p>
    <w:p>
      <w:pPr>
        <w:jc w:val="center"/>
        <w:spacing w:line="360" w:lineRule="auto"/>
        <w:rPr>
          <w:rFonts w:ascii="宋体" w:eastAsia="宋体"/>
          <w:b/>
          <w:position w:val="-10"/>
          <w:sz w:val="24"/>
        </w:rPr>
      </w:pPr>
      <w:r>
        <w:rPr>
          <w:rFonts w:ascii="宋体" w:eastAsia="宋体"/>
          <w:b/>
          <w:position w:val="-10"/>
          <w:sz w:val="24"/>
        </w:rPr>
        <w:br w:type="page" w:clear="all"/>
      </w:r>
      <w:r/>
    </w:p>
    <w:p>
      <w:pPr>
        <w:jc w:val="center"/>
        <w:spacing w:line="360" w:lineRule="auto"/>
        <w:rPr>
          <w:rFonts w:ascii="宋体" w:eastAsia="宋体"/>
          <w:b/>
          <w:position w:val="-10"/>
          <w:sz w:val="24"/>
        </w:rPr>
      </w:pPr>
      <w:r>
        <w:rPr>
          <w:rFonts w:hint="eastAsia" w:ascii="宋体" w:eastAsia="宋体"/>
          <w:b/>
          <w:position w:val="-10"/>
          <w:sz w:val="24"/>
        </w:rPr>
        <w:t xml:space="preserve">品目</w:t>
      </w:r>
      <w:r>
        <w:rPr>
          <w:rFonts w:hint="eastAsia" w:ascii="宋体" w:eastAsia="宋体"/>
          <w:b/>
          <w:position w:val="-10"/>
          <w:sz w:val="24"/>
        </w:rPr>
        <w:t xml:space="preserve">三</w:t>
      </w:r>
      <w:r>
        <w:rPr>
          <w:rFonts w:hint="eastAsia" w:ascii="宋体" w:eastAsia="宋体"/>
          <w:b/>
          <w:position w:val="-10"/>
          <w:sz w:val="24"/>
        </w:rPr>
        <w:t xml:space="preserve">：震动感觉阈值检测仪</w:t>
      </w:r>
      <w:r/>
    </w:p>
    <w:p>
      <w:pPr>
        <w:spacing w:line="360" w:lineRule="auto"/>
        <w:rPr>
          <w:rFonts w:ascii="宋体" w:eastAsia="宋体"/>
          <w:bCs/>
          <w:position w:val="-10"/>
          <w:sz w:val="24"/>
        </w:rPr>
      </w:pPr>
      <w:r>
        <w:rPr>
          <w:rFonts w:hint="eastAsia" w:ascii="宋体" w:eastAsia="宋体"/>
          <w:bCs/>
          <w:position w:val="-10"/>
          <w:sz w:val="24"/>
        </w:rPr>
        <w:t xml:space="preserve">1、功能用途：设备使用微米级震动刺激，无痛性地测量身体各部位的震动感觉阈值（VPT），定量检查糖尿病周围神经病变引起的深感觉障碍程度。</w:t>
      </w:r>
      <w:r/>
    </w:p>
    <w:p>
      <w:pPr>
        <w:spacing w:line="360" w:lineRule="auto"/>
        <w:rPr>
          <w:rFonts w:ascii="宋体" w:eastAsia="宋体"/>
          <w:bCs/>
          <w:position w:val="-10"/>
          <w:sz w:val="24"/>
        </w:rPr>
      </w:pPr>
      <w:r>
        <w:rPr>
          <w:rFonts w:hint="eastAsia" w:ascii="宋体" w:eastAsia="宋体"/>
          <w:bCs/>
          <w:position w:val="-10"/>
          <w:sz w:val="24"/>
        </w:rPr>
        <w:t xml:space="preserve">2、振动电路最大输出电压：≥ 50Volt，可连续调节。</w:t>
      </w:r>
      <w:r/>
    </w:p>
    <w:p>
      <w:pPr>
        <w:spacing w:line="360" w:lineRule="auto"/>
        <w:rPr>
          <w:rFonts w:ascii="宋体" w:eastAsia="宋体"/>
          <w:bCs/>
          <w:position w:val="-10"/>
          <w:sz w:val="24"/>
        </w:rPr>
      </w:pPr>
      <w:r>
        <w:rPr>
          <w:rFonts w:hint="eastAsia" w:ascii="宋体" w:eastAsia="宋体"/>
          <w:bCs/>
          <w:position w:val="-10"/>
          <w:sz w:val="24"/>
        </w:rPr>
        <w:t xml:space="preserve">3、▲振幅精度≤0.1V。</w:t>
      </w:r>
      <w:r/>
    </w:p>
    <w:p>
      <w:pPr>
        <w:spacing w:line="360" w:lineRule="auto"/>
        <w:rPr>
          <w:rFonts w:ascii="宋体" w:eastAsia="宋体"/>
          <w:bCs/>
          <w:position w:val="-10"/>
          <w:sz w:val="24"/>
        </w:rPr>
      </w:pPr>
      <w:r>
        <w:rPr>
          <w:rFonts w:hint="eastAsia" w:ascii="宋体" w:eastAsia="宋体"/>
          <w:bCs/>
          <w:position w:val="-10"/>
          <w:sz w:val="24"/>
        </w:rPr>
        <w:t xml:space="preserve">4、震动头振幅峰-峰值：震动头最大振幅峰-峰值≥70μm。</w:t>
      </w:r>
      <w:r/>
    </w:p>
    <w:p>
      <w:pPr>
        <w:spacing w:line="360" w:lineRule="auto"/>
        <w:rPr>
          <w:rFonts w:ascii="宋体" w:eastAsia="宋体"/>
          <w:bCs/>
          <w:position w:val="-10"/>
          <w:sz w:val="24"/>
        </w:rPr>
      </w:pPr>
      <w:r>
        <w:rPr>
          <w:rFonts w:hint="eastAsia" w:ascii="宋体" w:eastAsia="宋体"/>
          <w:bCs/>
          <w:position w:val="-10"/>
          <w:sz w:val="24"/>
        </w:rPr>
        <w:t xml:space="preserve">5、▲振动主频：≥100Hz±5%。</w:t>
      </w:r>
      <w:r/>
    </w:p>
    <w:p>
      <w:pPr>
        <w:spacing w:line="360" w:lineRule="auto"/>
        <w:rPr>
          <w:rFonts w:ascii="宋体" w:eastAsia="宋体"/>
          <w:bCs/>
          <w:position w:val="-10"/>
          <w:sz w:val="24"/>
        </w:rPr>
      </w:pPr>
      <w:r>
        <w:rPr>
          <w:rFonts w:hint="eastAsia" w:ascii="宋体" w:eastAsia="宋体"/>
          <w:bCs/>
          <w:position w:val="-10"/>
          <w:sz w:val="24"/>
        </w:rPr>
        <w:t xml:space="preserve">6、支持自动升压检测方式和手动(旋钮调节)升降压检测方式，振动接触压力范围：0-500g。</w:t>
      </w:r>
      <w:r/>
    </w:p>
    <w:p>
      <w:pPr>
        <w:spacing w:line="360" w:lineRule="auto"/>
        <w:rPr>
          <w:rFonts w:ascii="宋体" w:eastAsia="宋体"/>
          <w:bCs/>
          <w:position w:val="-10"/>
          <w:sz w:val="24"/>
        </w:rPr>
      </w:pPr>
      <w:r>
        <w:rPr>
          <w:rFonts w:hint="eastAsia" w:ascii="宋体" w:eastAsia="宋体"/>
          <w:bCs/>
          <w:position w:val="-10"/>
          <w:sz w:val="24"/>
        </w:rPr>
        <w:t xml:space="preserve">7、▲国药局医疗器械注册证中，包含配套的PC软件，即“定量感觉神经测试软件”，符合医疗器械注册要求，非软件著作权证。</w:t>
      </w:r>
      <w:r/>
    </w:p>
    <w:p>
      <w:pPr>
        <w:spacing w:line="360" w:lineRule="auto"/>
        <w:rPr>
          <w:rFonts w:ascii="宋体" w:eastAsia="宋体"/>
          <w:bCs/>
          <w:position w:val="-10"/>
          <w:sz w:val="24"/>
        </w:rPr>
      </w:pPr>
      <w:r>
        <w:rPr>
          <w:rFonts w:hint="eastAsia" w:ascii="宋体" w:eastAsia="宋体"/>
          <w:bCs/>
          <w:position w:val="-10"/>
          <w:sz w:val="24"/>
        </w:rPr>
        <w:t xml:space="preserve">8、系统根据检查结果自动成生报告摘要，既可外接打印报告，也支持脱机使用，内置打印机，能够随时随地打印结果。</w:t>
      </w:r>
      <w:r/>
    </w:p>
    <w:p>
      <w:pPr>
        <w:spacing w:line="360" w:lineRule="auto"/>
        <w:rPr>
          <w:rFonts w:ascii="宋体" w:eastAsia="宋体"/>
          <w:bCs/>
          <w:position w:val="-10"/>
          <w:sz w:val="24"/>
        </w:rPr>
      </w:pPr>
      <w:r>
        <w:rPr>
          <w:rFonts w:hint="eastAsia" w:ascii="宋体" w:eastAsia="宋体"/>
          <w:bCs/>
          <w:position w:val="-10"/>
          <w:sz w:val="24"/>
        </w:rPr>
        <w:t xml:space="preserve">9、支持原始数据导出为EXCEL格式，支持历史数据一键备份和还原，支持身份证ID刷卡录入。</w:t>
      </w:r>
      <w:r/>
    </w:p>
    <w:p>
      <w:pPr>
        <w:spacing w:line="360" w:lineRule="auto"/>
        <w:rPr>
          <w:rFonts w:ascii="宋体" w:eastAsia="宋体"/>
          <w:bCs/>
          <w:position w:val="-10"/>
          <w:sz w:val="24"/>
        </w:rPr>
      </w:pPr>
      <w:r>
        <w:rPr>
          <w:rFonts w:hint="eastAsia" w:ascii="宋体" w:eastAsia="宋体"/>
          <w:bCs/>
          <w:position w:val="-10"/>
          <w:sz w:val="24"/>
        </w:rPr>
        <w:t xml:space="preserve">10、支持脚踏式振动刺激器，方便患者坐姿检查。</w:t>
      </w:r>
      <w:r/>
    </w:p>
    <w:p>
      <w:pPr>
        <w:spacing w:line="360" w:lineRule="auto"/>
        <w:rPr>
          <w:rFonts w:ascii="宋体" w:eastAsia="宋体"/>
          <w:bCs/>
          <w:position w:val="-10"/>
          <w:sz w:val="24"/>
        </w:rPr>
      </w:pPr>
      <w:r>
        <w:rPr>
          <w:rFonts w:hint="eastAsia" w:ascii="宋体" w:eastAsia="宋体"/>
          <w:bCs/>
          <w:position w:val="-10"/>
          <w:sz w:val="24"/>
        </w:rPr>
        <w:t xml:space="preserve">11、★配置要求：主机1台、振动刺激器1个、反应控制器1个。</w:t>
      </w:r>
      <w:r/>
    </w:p>
    <w:p>
      <w:pPr>
        <w:spacing w:line="360" w:lineRule="auto"/>
        <w:rPr>
          <w:rFonts w:ascii="宋体" w:eastAsia="宋体"/>
          <w:bCs/>
          <w:position w:val="-10"/>
          <w:sz w:val="24"/>
        </w:rPr>
      </w:pPr>
      <w:r>
        <w:rPr>
          <w:rFonts w:hint="eastAsia" w:ascii="宋体" w:eastAsia="宋体"/>
          <w:bCs/>
          <w:position w:val="-10"/>
          <w:sz w:val="24"/>
        </w:rPr>
        <w:t xml:space="preserve">12、▲数据能够自动上传至符合“两筛三防”要求的慢病管理系统，免费提供接口协议，可以和HIS系统实现对接。</w:t>
      </w:r>
      <w:r/>
    </w:p>
    <w:p>
      <w:pPr>
        <w:jc w:val="center"/>
        <w:spacing w:line="360" w:lineRule="auto"/>
        <w:rPr>
          <w:rFonts w:ascii="宋体" w:eastAsia="宋体"/>
          <w:bCs/>
          <w:position w:val="-10"/>
          <w:sz w:val="24"/>
        </w:rPr>
      </w:pPr>
      <w:r>
        <w:rPr>
          <w:rFonts w:ascii="宋体" w:eastAsia="宋体"/>
          <w:bCs/>
          <w:position w:val="-10"/>
          <w:sz w:val="24"/>
        </w:rPr>
        <w:br w:type="page" w:clear="all"/>
      </w:r>
      <w:r/>
    </w:p>
    <w:p>
      <w:pPr>
        <w:jc w:val="center"/>
        <w:spacing w:line="360" w:lineRule="auto"/>
        <w:rPr>
          <w:rFonts w:ascii="宋体" w:eastAsia="宋体"/>
          <w:b/>
          <w:position w:val="-10"/>
          <w:sz w:val="24"/>
        </w:rPr>
      </w:pPr>
      <w:r>
        <w:rPr>
          <w:rFonts w:hint="eastAsia" w:ascii="宋体" w:eastAsia="宋体"/>
          <w:b/>
          <w:position w:val="-10"/>
          <w:sz w:val="24"/>
        </w:rPr>
        <w:t xml:space="preserve">品目</w:t>
      </w:r>
      <w:r>
        <w:rPr>
          <w:rFonts w:hint="eastAsia" w:ascii="宋体" w:eastAsia="宋体"/>
          <w:b/>
          <w:position w:val="-10"/>
          <w:sz w:val="24"/>
        </w:rPr>
        <w:t xml:space="preserve">四</w:t>
      </w:r>
      <w:r>
        <w:rPr>
          <w:rFonts w:hint="eastAsia" w:ascii="宋体" w:eastAsia="宋体"/>
          <w:b/>
          <w:position w:val="-10"/>
          <w:sz w:val="24"/>
        </w:rPr>
        <w:t xml:space="preserve">：眼底照相机</w:t>
      </w:r>
      <w:r/>
    </w:p>
    <w:p>
      <w:pPr>
        <w:spacing w:line="360" w:lineRule="auto"/>
        <w:rPr>
          <w:rFonts w:ascii="宋体" w:eastAsia="宋体"/>
          <w:bCs/>
          <w:position w:val="-10"/>
          <w:sz w:val="24"/>
        </w:rPr>
      </w:pPr>
      <w:r>
        <w:rPr>
          <w:rFonts w:hint="eastAsia" w:ascii="宋体" w:eastAsia="宋体"/>
          <w:bCs/>
          <w:position w:val="-10"/>
          <w:sz w:val="24"/>
        </w:rPr>
        <w:t xml:space="preserve">1、采集模式：免散</w:t>
      </w:r>
      <w:r>
        <w:rPr>
          <w:rFonts w:hint="eastAsia" w:ascii="宋体" w:eastAsia="宋体"/>
          <w:bCs/>
          <w:position w:val="-10"/>
          <w:sz w:val="24"/>
        </w:rPr>
        <w:t xml:space="preserve">瞳</w:t>
      </w:r>
      <w:r>
        <w:rPr>
          <w:rFonts w:hint="eastAsia" w:ascii="宋体" w:eastAsia="宋体"/>
          <w:bCs/>
          <w:position w:val="-10"/>
          <w:sz w:val="24"/>
        </w:rPr>
        <w:t xml:space="preserve">彩照/散</w:t>
      </w:r>
      <w:r>
        <w:rPr>
          <w:rFonts w:hint="eastAsia" w:ascii="宋体" w:eastAsia="宋体"/>
          <w:bCs/>
          <w:position w:val="-10"/>
          <w:sz w:val="24"/>
        </w:rPr>
        <w:t xml:space="preserve">瞳</w:t>
      </w:r>
      <w:r>
        <w:rPr>
          <w:rFonts w:hint="eastAsia" w:ascii="宋体" w:eastAsia="宋体"/>
          <w:bCs/>
          <w:position w:val="-10"/>
          <w:sz w:val="24"/>
        </w:rPr>
        <w:t xml:space="preserve">彩照；</w:t>
      </w:r>
      <w:r/>
    </w:p>
    <w:p>
      <w:pPr>
        <w:spacing w:line="360" w:lineRule="auto"/>
        <w:rPr>
          <w:rFonts w:ascii="宋体" w:eastAsia="宋体"/>
          <w:bCs/>
          <w:position w:val="-10"/>
          <w:sz w:val="24"/>
        </w:rPr>
      </w:pPr>
      <w:r>
        <w:rPr>
          <w:rFonts w:hint="eastAsia" w:ascii="宋体" w:eastAsia="宋体"/>
          <w:bCs/>
          <w:position w:val="-10"/>
          <w:sz w:val="24"/>
        </w:rPr>
        <w:t xml:space="preserve">▲2、操作模式：全自动/手动；无需人工调整，一键完成双眼自动拍照；自动追踪（上下左右），自动对焦（前后），自动测量.自动转换左右眼；</w:t>
      </w:r>
      <w:r/>
    </w:p>
    <w:p>
      <w:pPr>
        <w:spacing w:line="360" w:lineRule="auto"/>
        <w:rPr>
          <w:rFonts w:ascii="宋体" w:eastAsia="宋体"/>
          <w:bCs/>
          <w:position w:val="-10"/>
          <w:sz w:val="24"/>
        </w:rPr>
      </w:pPr>
      <w:r>
        <w:rPr>
          <w:rFonts w:hint="eastAsia" w:ascii="宋体" w:eastAsia="宋体"/>
          <w:bCs/>
          <w:position w:val="-10"/>
          <w:sz w:val="24"/>
        </w:rPr>
        <w:t xml:space="preserve">3、对焦模式：全自动激光灯圆点对焦（非传统劈裂线对焦）</w:t>
      </w:r>
      <w:r/>
    </w:p>
    <w:p>
      <w:pPr>
        <w:spacing w:line="360" w:lineRule="auto"/>
        <w:rPr>
          <w:rFonts w:ascii="宋体" w:eastAsia="宋体"/>
          <w:bCs/>
          <w:position w:val="-10"/>
          <w:sz w:val="24"/>
        </w:rPr>
      </w:pPr>
      <w:r>
        <w:rPr>
          <w:rFonts w:hint="eastAsia" w:ascii="宋体" w:eastAsia="宋体"/>
          <w:bCs/>
          <w:position w:val="-10"/>
          <w:sz w:val="24"/>
        </w:rPr>
        <w:t xml:space="preserve">4、闪光灯亮度调节：7档可调节；</w:t>
      </w:r>
      <w:r/>
    </w:p>
    <w:p>
      <w:pPr>
        <w:spacing w:line="360" w:lineRule="auto"/>
        <w:rPr>
          <w:rFonts w:ascii="宋体" w:eastAsia="宋体"/>
          <w:bCs/>
          <w:position w:val="-10"/>
          <w:sz w:val="24"/>
        </w:rPr>
      </w:pPr>
      <w:r>
        <w:rPr>
          <w:rFonts w:hint="eastAsia" w:ascii="宋体" w:eastAsia="宋体"/>
          <w:bCs/>
          <w:position w:val="-10"/>
          <w:sz w:val="24"/>
        </w:rPr>
        <w:t xml:space="preserve">5、照明光亮度调节：7档可调节</w:t>
      </w:r>
      <w:r/>
    </w:p>
    <w:p>
      <w:pPr>
        <w:spacing w:line="360" w:lineRule="auto"/>
        <w:rPr>
          <w:rFonts w:ascii="宋体" w:eastAsia="宋体"/>
          <w:bCs/>
          <w:position w:val="-10"/>
          <w:sz w:val="24"/>
        </w:rPr>
      </w:pPr>
      <w:r>
        <w:rPr>
          <w:rFonts w:hint="eastAsia" w:ascii="宋体" w:eastAsia="宋体"/>
          <w:bCs/>
          <w:position w:val="-10"/>
          <w:sz w:val="24"/>
        </w:rPr>
        <w:t xml:space="preserve">6、下巴托模式：根据眼位自动调节高度，无需旋钮调节；</w:t>
      </w:r>
      <w:r/>
    </w:p>
    <w:p>
      <w:pPr>
        <w:spacing w:line="360" w:lineRule="auto"/>
        <w:rPr>
          <w:rFonts w:ascii="宋体" w:eastAsia="宋体"/>
          <w:bCs/>
          <w:position w:val="-10"/>
          <w:sz w:val="24"/>
        </w:rPr>
      </w:pPr>
      <w:r>
        <w:rPr>
          <w:rFonts w:hint="eastAsia" w:ascii="宋体" w:eastAsia="宋体"/>
          <w:bCs/>
          <w:position w:val="-10"/>
          <w:sz w:val="24"/>
        </w:rPr>
        <w:t xml:space="preserve">▲7、采集模块：内置专业高清摄像头，眼底像分辨率：≥2400</w:t>
      </w:r>
      <w:r>
        <w:rPr>
          <w:rFonts w:hint="eastAsia" w:ascii="宋体" w:eastAsia="宋体"/>
          <w:bCs/>
          <w:position w:val="-10"/>
          <w:sz w:val="24"/>
        </w:rPr>
        <w:t xml:space="preserve">万像</w:t>
      </w:r>
      <w:r>
        <w:rPr>
          <w:rFonts w:hint="eastAsia" w:ascii="宋体" w:eastAsia="宋体"/>
          <w:bCs/>
          <w:position w:val="-10"/>
          <w:sz w:val="24"/>
        </w:rPr>
        <w:t xml:space="preserve">素；</w:t>
      </w:r>
      <w:r/>
    </w:p>
    <w:p>
      <w:pPr>
        <w:spacing w:line="360" w:lineRule="auto"/>
        <w:rPr>
          <w:rFonts w:ascii="宋体" w:eastAsia="宋体"/>
          <w:bCs/>
          <w:position w:val="-10"/>
          <w:sz w:val="24"/>
        </w:rPr>
      </w:pPr>
      <w:r>
        <w:rPr>
          <w:rFonts w:hint="eastAsia" w:ascii="宋体" w:eastAsia="宋体"/>
          <w:bCs/>
          <w:position w:val="-10"/>
          <w:sz w:val="24"/>
        </w:rPr>
        <w:t xml:space="preserve">▲8、免散</w:t>
      </w:r>
      <w:r>
        <w:rPr>
          <w:rFonts w:hint="eastAsia" w:ascii="宋体" w:eastAsia="宋体"/>
          <w:bCs/>
          <w:position w:val="-10"/>
          <w:sz w:val="24"/>
        </w:rPr>
        <w:t xml:space="preserve">瞳</w:t>
      </w:r>
      <w:r>
        <w:rPr>
          <w:rFonts w:hint="eastAsia" w:ascii="宋体" w:eastAsia="宋体"/>
          <w:bCs/>
          <w:position w:val="-10"/>
          <w:sz w:val="24"/>
        </w:rPr>
        <w:t xml:space="preserve">最小可照相瞳孔直径：≤2.8mm；</w:t>
      </w:r>
      <w:r/>
    </w:p>
    <w:p>
      <w:pPr>
        <w:spacing w:line="360" w:lineRule="auto"/>
        <w:rPr>
          <w:rFonts w:ascii="宋体" w:eastAsia="宋体"/>
          <w:bCs/>
          <w:position w:val="-10"/>
          <w:sz w:val="24"/>
        </w:rPr>
      </w:pPr>
      <w:r>
        <w:rPr>
          <w:rFonts w:hint="eastAsia" w:ascii="宋体" w:eastAsia="宋体"/>
          <w:bCs/>
          <w:position w:val="-10"/>
          <w:sz w:val="24"/>
        </w:rPr>
        <w:t xml:space="preserve">9、摄像闪光光源照度：最小照度的标称值为 2200 lx，允差：±10% ；最大照度应不大于 35000 lx；以保护患者眼镜不受强光刺激，引起</w:t>
      </w:r>
      <w:r>
        <w:rPr>
          <w:rFonts w:hint="eastAsia" w:ascii="宋体" w:eastAsia="宋体"/>
          <w:bCs/>
          <w:position w:val="-10"/>
          <w:sz w:val="24"/>
        </w:rPr>
        <w:t xml:space="preserve">医</w:t>
      </w:r>
      <w:r>
        <w:rPr>
          <w:rFonts w:hint="eastAsia" w:ascii="宋体" w:eastAsia="宋体"/>
          <w:bCs/>
          <w:position w:val="-10"/>
          <w:sz w:val="24"/>
        </w:rPr>
        <w:t xml:space="preserve">患纠纷</w:t>
      </w:r>
      <w:r/>
    </w:p>
    <w:p>
      <w:pPr>
        <w:spacing w:line="360" w:lineRule="auto"/>
        <w:rPr>
          <w:rFonts w:ascii="宋体" w:eastAsia="宋体"/>
          <w:bCs/>
          <w:position w:val="-10"/>
          <w:sz w:val="24"/>
        </w:rPr>
      </w:pPr>
      <w:r>
        <w:rPr>
          <w:rFonts w:hint="eastAsia" w:ascii="宋体" w:eastAsia="宋体"/>
          <w:bCs/>
          <w:position w:val="-10"/>
          <w:sz w:val="24"/>
        </w:rPr>
        <w:t xml:space="preserve">10、摄像闪光的相关色温：4500 K≤Tc≤6700 K</w:t>
      </w:r>
      <w:r/>
    </w:p>
    <w:p>
      <w:pPr>
        <w:spacing w:line="360" w:lineRule="auto"/>
        <w:rPr>
          <w:rFonts w:ascii="宋体" w:eastAsia="宋体"/>
          <w:bCs/>
          <w:position w:val="-10"/>
          <w:sz w:val="24"/>
        </w:rPr>
      </w:pPr>
      <w:r>
        <w:rPr>
          <w:rFonts w:hint="eastAsia" w:ascii="宋体" w:eastAsia="宋体"/>
          <w:bCs/>
          <w:position w:val="-10"/>
          <w:sz w:val="24"/>
        </w:rPr>
        <w:t xml:space="preserve">▲11、患者屈光度校正范围：无补偿透镜：≥±30D；</w:t>
      </w:r>
      <w:r/>
    </w:p>
    <w:p>
      <w:pPr>
        <w:spacing w:line="360" w:lineRule="auto"/>
        <w:rPr>
          <w:rFonts w:ascii="宋体" w:eastAsia="宋体"/>
          <w:bCs/>
          <w:position w:val="-10"/>
          <w:sz w:val="24"/>
        </w:rPr>
      </w:pPr>
      <w:r>
        <w:rPr>
          <w:rFonts w:hint="eastAsia" w:ascii="宋体" w:eastAsia="宋体"/>
          <w:bCs/>
          <w:position w:val="-10"/>
          <w:sz w:val="24"/>
        </w:rPr>
        <w:t xml:space="preserve"> 12、视场角：≥50°；</w:t>
      </w:r>
      <w:r/>
    </w:p>
    <w:p>
      <w:pPr>
        <w:spacing w:line="360" w:lineRule="auto"/>
        <w:rPr>
          <w:rFonts w:ascii="宋体" w:eastAsia="宋体"/>
          <w:bCs/>
          <w:position w:val="-10"/>
          <w:sz w:val="24"/>
        </w:rPr>
      </w:pPr>
      <w:r>
        <w:rPr>
          <w:rFonts w:hint="eastAsia" w:ascii="宋体" w:eastAsia="宋体"/>
          <w:bCs/>
          <w:position w:val="-10"/>
          <w:sz w:val="24"/>
        </w:rPr>
        <w:t xml:space="preserve">13、具有自动拼图，拼图后视场角≥135°；</w:t>
      </w:r>
      <w:r/>
    </w:p>
    <w:p>
      <w:pPr>
        <w:spacing w:line="360" w:lineRule="auto"/>
        <w:rPr>
          <w:rFonts w:ascii="宋体" w:eastAsia="宋体"/>
          <w:bCs/>
          <w:position w:val="-10"/>
          <w:sz w:val="24"/>
        </w:rPr>
      </w:pPr>
      <w:r>
        <w:rPr>
          <w:rFonts w:hint="eastAsia" w:ascii="宋体" w:eastAsia="宋体"/>
          <w:bCs/>
          <w:position w:val="-10"/>
          <w:sz w:val="24"/>
        </w:rPr>
        <w:t xml:space="preserve">14、操作者方位：对侧、旁侧；</w:t>
      </w:r>
      <w:r/>
    </w:p>
    <w:p>
      <w:pPr>
        <w:spacing w:line="360" w:lineRule="auto"/>
        <w:rPr>
          <w:rFonts w:ascii="宋体" w:eastAsia="宋体"/>
          <w:bCs/>
          <w:position w:val="-10"/>
          <w:sz w:val="24"/>
        </w:rPr>
      </w:pPr>
      <w:r>
        <w:rPr>
          <w:rFonts w:hint="eastAsia" w:ascii="宋体" w:eastAsia="宋体"/>
          <w:bCs/>
          <w:position w:val="-10"/>
          <w:sz w:val="24"/>
        </w:rPr>
        <w:t xml:space="preserve">▲15、工作距离：≤20±2mm；</w:t>
      </w:r>
      <w:r/>
    </w:p>
    <w:p>
      <w:pPr>
        <w:spacing w:line="360" w:lineRule="auto"/>
        <w:rPr>
          <w:rFonts w:ascii="宋体" w:eastAsia="宋体"/>
          <w:bCs/>
          <w:position w:val="-10"/>
          <w:sz w:val="24"/>
        </w:rPr>
      </w:pPr>
      <w:r>
        <w:rPr>
          <w:rFonts w:hint="eastAsia" w:ascii="宋体" w:eastAsia="宋体"/>
          <w:bCs/>
          <w:position w:val="-10"/>
          <w:sz w:val="24"/>
        </w:rPr>
        <w:t xml:space="preserve">16、</w:t>
      </w:r>
      <w:r>
        <w:rPr>
          <w:rFonts w:hint="eastAsia" w:ascii="宋体" w:eastAsia="宋体"/>
          <w:bCs/>
          <w:position w:val="-10"/>
          <w:sz w:val="24"/>
        </w:rPr>
        <w:t xml:space="preserve">固视标</w:t>
      </w:r>
      <w:r>
        <w:rPr>
          <w:rFonts w:hint="eastAsia" w:ascii="宋体" w:eastAsia="宋体"/>
          <w:bCs/>
          <w:position w:val="-10"/>
          <w:sz w:val="24"/>
        </w:rPr>
        <w:t xml:space="preserve">：采用液晶点阵，任意位置点可调，可微调实现精准定位，</w:t>
      </w:r>
      <w:r>
        <w:rPr>
          <w:rFonts w:hint="eastAsia" w:ascii="宋体" w:eastAsia="宋体"/>
          <w:bCs/>
          <w:position w:val="-10"/>
          <w:sz w:val="24"/>
        </w:rPr>
        <w:t xml:space="preserve">总位置</w:t>
      </w:r>
      <w:r>
        <w:rPr>
          <w:rFonts w:hint="eastAsia" w:ascii="宋体" w:eastAsia="宋体"/>
          <w:bCs/>
          <w:position w:val="-10"/>
          <w:sz w:val="24"/>
        </w:rPr>
        <w:t xml:space="preserve">点数≥256个，非传统固定位置固视点；</w:t>
      </w:r>
      <w:r/>
    </w:p>
    <w:p>
      <w:pPr>
        <w:spacing w:line="360" w:lineRule="auto"/>
        <w:rPr>
          <w:rFonts w:ascii="宋体" w:eastAsia="宋体"/>
          <w:bCs/>
          <w:position w:val="-10"/>
          <w:sz w:val="24"/>
        </w:rPr>
      </w:pPr>
      <w:r>
        <w:rPr>
          <w:rFonts w:hint="eastAsia" w:ascii="宋体" w:eastAsia="宋体"/>
          <w:bCs/>
          <w:position w:val="-10"/>
          <w:sz w:val="24"/>
        </w:rPr>
        <w:t xml:space="preserve">16、显示屏：≥10寸旋转电容触摸控制屏，可外接≥20寸液晶扩展显示器（可分屏显示）；</w:t>
      </w:r>
      <w:r/>
    </w:p>
    <w:p>
      <w:pPr>
        <w:spacing w:line="360" w:lineRule="auto"/>
        <w:rPr>
          <w:rFonts w:ascii="宋体" w:eastAsia="宋体"/>
          <w:bCs/>
          <w:position w:val="-10"/>
          <w:sz w:val="24"/>
        </w:rPr>
      </w:pPr>
      <w:r>
        <w:rPr>
          <w:rFonts w:hint="eastAsia" w:ascii="宋体" w:eastAsia="宋体"/>
          <w:bCs/>
          <w:position w:val="-10"/>
          <w:sz w:val="24"/>
        </w:rPr>
        <w:t xml:space="preserve">17、图片后处理功能：亮度，色彩，对比度；病灶标注及计算；随访对比；</w:t>
      </w:r>
      <w:r/>
    </w:p>
    <w:p>
      <w:pPr>
        <w:spacing w:line="360" w:lineRule="auto"/>
        <w:rPr>
          <w:rFonts w:ascii="宋体" w:eastAsia="宋体"/>
          <w:bCs/>
          <w:position w:val="-10"/>
          <w:sz w:val="24"/>
        </w:rPr>
      </w:pPr>
      <w:r>
        <w:rPr>
          <w:rFonts w:hint="eastAsia" w:ascii="宋体" w:eastAsia="宋体"/>
          <w:bCs/>
          <w:position w:val="-10"/>
          <w:sz w:val="24"/>
        </w:rPr>
        <w:t xml:space="preserve">18、支持眼科远程PACS系统数据共享接连端口，PC传输：USB,局域网，FTP，DICOM</w:t>
      </w:r>
      <w:r/>
    </w:p>
    <w:p>
      <w:pPr>
        <w:spacing w:line="360" w:lineRule="auto"/>
        <w:rPr>
          <w:rFonts w:ascii="宋体" w:eastAsia="宋体"/>
          <w:bCs/>
          <w:position w:val="-10"/>
          <w:sz w:val="24"/>
        </w:rPr>
      </w:pPr>
      <w:r>
        <w:rPr>
          <w:rFonts w:hint="eastAsia" w:ascii="宋体" w:eastAsia="宋体"/>
          <w:bCs/>
          <w:position w:val="-10"/>
          <w:sz w:val="24"/>
        </w:rPr>
        <w:t xml:space="preserve">19、采集过程全程语音导航</w:t>
      </w:r>
      <w:r/>
    </w:p>
    <w:p>
      <w:pPr>
        <w:spacing w:line="360" w:lineRule="auto"/>
        <w:rPr>
          <w:rFonts w:ascii="宋体" w:eastAsia="宋体"/>
          <w:bCs/>
          <w:position w:val="-10"/>
          <w:sz w:val="24"/>
        </w:rPr>
      </w:pPr>
      <w:r>
        <w:rPr>
          <w:rFonts w:hint="eastAsia" w:ascii="宋体" w:eastAsia="宋体"/>
          <w:bCs/>
          <w:position w:val="-10"/>
          <w:sz w:val="24"/>
        </w:rPr>
        <w:t xml:space="preserve">▲20、人工智能阅片辅助诊断系统，具有单独的医疗器械注册证，免费使用≥3年</w:t>
      </w:r>
      <w:r/>
    </w:p>
    <w:p>
      <w:pPr>
        <w:spacing w:line="360" w:lineRule="auto"/>
        <w:rPr>
          <w:rFonts w:ascii="宋体" w:eastAsia="宋体"/>
          <w:bCs/>
          <w:position w:val="-10"/>
          <w:sz w:val="24"/>
        </w:rPr>
      </w:pPr>
      <w:r>
        <w:rPr>
          <w:rFonts w:hint="eastAsia" w:ascii="宋体" w:eastAsia="宋体"/>
          <w:bCs/>
          <w:position w:val="-10"/>
          <w:sz w:val="24"/>
        </w:rPr>
        <w:t xml:space="preserve">▲21、医疗器械注册使用年限≥10年。</w:t>
      </w:r>
      <w:r/>
    </w:p>
    <w:p>
      <w:pPr>
        <w:spacing w:line="360" w:lineRule="auto"/>
        <w:rPr>
          <w:rFonts w:ascii="宋体" w:eastAsia="宋体"/>
          <w:bCs/>
          <w:position w:val="-10"/>
          <w:sz w:val="24"/>
        </w:rPr>
      </w:pPr>
      <w:r>
        <w:rPr>
          <w:rFonts w:hint="eastAsia" w:ascii="宋体" w:eastAsia="宋体"/>
          <w:bCs/>
          <w:position w:val="-10"/>
          <w:sz w:val="24"/>
        </w:rPr>
        <w:t xml:space="preserve">▲22、数据能够自动上传至符合“两筛三防”要求的慢病管理系统，免费提供</w:t>
      </w:r>
      <w:r>
        <w:rPr>
          <w:rFonts w:hint="eastAsia" w:ascii="宋体" w:eastAsia="宋体"/>
          <w:bCs/>
          <w:position w:val="-10"/>
          <w:sz w:val="24"/>
        </w:rPr>
        <w:t xml:space="preserve">接口协议，可以和HIS系统实现对接。</w:t>
      </w:r>
      <w:r/>
    </w:p>
    <w:p>
      <w:pPr>
        <w:jc w:val="center"/>
        <w:spacing w:line="360" w:lineRule="auto"/>
        <w:rPr>
          <w:rFonts w:hint="eastAsia" w:ascii="宋体" w:hAnsi="宋体" w:eastAsia="宋体"/>
          <w:bCs/>
          <w:position w:val="-10"/>
          <w:sz w:val="24"/>
          <w:szCs w:val="24"/>
        </w:rPr>
      </w:pPr>
      <w:r>
        <w:rPr>
          <w:rFonts w:hint="eastAsia" w:ascii="宋体" w:hAnsi="宋体" w:eastAsia="宋体"/>
          <w:bCs/>
          <w:position w:val="-10"/>
          <w:sz w:val="24"/>
          <w:szCs w:val="24"/>
        </w:rPr>
      </w:r>
      <w:r/>
    </w:p>
    <w:p>
      <w:pPr>
        <w:jc w:val="left"/>
        <w:spacing w:line="360" w:lineRule="auto"/>
        <w:tabs>
          <w:tab w:val="left" w:pos="1260" w:leader="none"/>
        </w:tabs>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br w:type="page" w:clear="all"/>
      </w:r>
      <w:r/>
    </w:p>
    <w:p>
      <w:pPr>
        <w:jc w:val="left"/>
        <w:spacing w:line="360" w:lineRule="auto"/>
        <w:tabs>
          <w:tab w:val="left" w:pos="1260" w:leader="none"/>
        </w:tabs>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t xml:space="preserve">三</w:t>
      </w:r>
      <w:r>
        <w:rPr>
          <w:rFonts w:asciiTheme="minorEastAsia" w:hAnsiTheme="minorEastAsia" w:eastAsiaTheme="minorEastAsia"/>
          <w:b/>
          <w:sz w:val="28"/>
          <w:szCs w:val="28"/>
        </w:rPr>
        <w:t xml:space="preserve">、商务需求</w:t>
      </w:r>
      <w:r/>
    </w:p>
    <w:tbl>
      <w:tblPr>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9"/>
        <w:gridCol w:w="2158"/>
        <w:gridCol w:w="5732"/>
      </w:tblGrid>
      <w:tr>
        <w:trPr>
          <w:jc w:val="center"/>
          <w:trHeight w:val="750"/>
        </w:trPr>
        <w:tc>
          <w:tcPr>
            <w:tcW w:w="475"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序号</w:t>
            </w:r>
            <w:r/>
          </w:p>
        </w:tc>
        <w:tc>
          <w:tcPr>
            <w:tcW w:w="1237"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商务和服务项目</w:t>
            </w:r>
            <w:r/>
          </w:p>
        </w:tc>
        <w:tc>
          <w:tcPr>
            <w:tcW w:w="3286"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商务和服务要求</w:t>
            </w:r>
            <w:r/>
          </w:p>
        </w:tc>
      </w:tr>
      <w:tr>
        <w:trPr>
          <w:jc w:val="center"/>
          <w:trHeight w:val="759"/>
        </w:trPr>
        <w:tc>
          <w:tcPr>
            <w:tcW w:w="475"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w:t>
            </w:r>
            <w:r/>
          </w:p>
        </w:tc>
        <w:tc>
          <w:tcPr>
            <w:tcW w:w="1237"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交货期</w:t>
            </w:r>
            <w:r/>
          </w:p>
        </w:tc>
        <w:tc>
          <w:tcPr>
            <w:tcW w:w="3286"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合同生效之日起</w:t>
            </w:r>
            <w:r>
              <w:rPr>
                <w:rFonts w:ascii="宋体" w:hAnsi="宋体" w:eastAsia="宋体" w:cs="宋体"/>
                <w:bCs/>
                <w:sz w:val="24"/>
                <w:szCs w:val="24"/>
                <w:lang w:val="zh-CN"/>
              </w:rPr>
              <w:t xml:space="preserve">30</w:t>
            </w:r>
            <w:r>
              <w:rPr>
                <w:rFonts w:hint="eastAsia" w:ascii="宋体" w:hAnsi="宋体" w:eastAsia="宋体" w:cs="宋体"/>
                <w:bCs/>
                <w:sz w:val="24"/>
                <w:szCs w:val="24"/>
                <w:lang w:val="zh-CN"/>
              </w:rPr>
              <w:t xml:space="preserve">天内</w:t>
            </w:r>
            <w:r/>
          </w:p>
        </w:tc>
      </w:tr>
      <w:tr>
        <w:trPr>
          <w:jc w:val="center"/>
          <w:trHeight w:val="867"/>
        </w:trPr>
        <w:tc>
          <w:tcPr>
            <w:tcW w:w="475"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2</w:t>
            </w:r>
            <w:r/>
          </w:p>
        </w:tc>
        <w:tc>
          <w:tcPr>
            <w:tcW w:w="1237"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售后服务</w:t>
            </w:r>
            <w:r/>
          </w:p>
        </w:tc>
        <w:tc>
          <w:tcPr>
            <w:tcW w:w="3286" w:type="pct"/>
            <w:vAlign w:val="center"/>
            <w:textDirection w:val="lrTb"/>
            <w:noWrap w:val="false"/>
          </w:tcPr>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、整机质</w:t>
            </w:r>
            <w:r>
              <w:rPr>
                <w:rFonts w:hint="eastAsia" w:ascii="宋体" w:hAnsi="宋体" w:eastAsia="宋体" w:cs="宋体"/>
                <w:bCs/>
                <w:sz w:val="24"/>
                <w:szCs w:val="24"/>
                <w:lang w:val="zh-CN"/>
              </w:rPr>
              <w:t xml:space="preserve">保要求</w:t>
            </w:r>
            <w:r>
              <w:rPr>
                <w:rFonts w:hint="eastAsia" w:ascii="宋体" w:hAnsi="宋体" w:eastAsia="宋体" w:cs="宋体"/>
                <w:bCs/>
                <w:sz w:val="24"/>
                <w:szCs w:val="24"/>
                <w:lang w:val="zh-CN"/>
              </w:rPr>
              <w:t xml:space="preserve">不少于</w:t>
            </w:r>
            <w:r>
              <w:rPr>
                <w:rFonts w:hint="eastAsia" w:ascii="宋体" w:hAnsi="宋体" w:eastAsia="宋体" w:cs="宋体"/>
                <w:bCs/>
                <w:sz w:val="24"/>
                <w:szCs w:val="24"/>
                <w:lang w:val="zh-CN"/>
              </w:rPr>
              <w:t xml:space="preserve">三</w:t>
            </w:r>
            <w:r>
              <w:rPr>
                <w:rFonts w:hint="eastAsia" w:ascii="宋体" w:hAnsi="宋体" w:eastAsia="宋体" w:cs="宋体"/>
                <w:bCs/>
                <w:sz w:val="24"/>
                <w:szCs w:val="24"/>
                <w:lang w:val="zh-CN"/>
              </w:rPr>
              <w:t xml:space="preserve">年。</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、对医院技术人员进行应用培训，直至操作人员会使用为止。</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、设备交付使用后，定期对设备进行维护保养，在保修期内提供免费维护保养服务两次。</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、保证所提供设备的配件</w:t>
            </w:r>
            <w:r>
              <w:rPr>
                <w:rFonts w:ascii="宋体" w:hAnsi="宋体" w:eastAsia="宋体" w:cs="宋体"/>
                <w:bCs/>
                <w:sz w:val="24"/>
                <w:szCs w:val="24"/>
                <w:lang w:val="zh-CN"/>
              </w:rPr>
              <w:t xml:space="preserve">10</w:t>
            </w:r>
            <w:r>
              <w:rPr>
                <w:rFonts w:hint="eastAsia" w:ascii="宋体" w:hAnsi="宋体" w:eastAsia="宋体" w:cs="宋体"/>
                <w:bCs/>
                <w:sz w:val="24"/>
                <w:szCs w:val="24"/>
                <w:lang w:val="zh-CN"/>
              </w:rPr>
              <w:t xml:space="preserve">年供货期，承诺期内保证配件需求。</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、定期对机器清洁、性能测试及校准、必要的机械或电气的检查。</w:t>
            </w:r>
            <w:r/>
          </w:p>
        </w:tc>
      </w:tr>
      <w:tr>
        <w:trPr>
          <w:jc w:val="center"/>
          <w:trHeight w:val="810"/>
        </w:trPr>
        <w:tc>
          <w:tcPr>
            <w:tcW w:w="475"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3</w:t>
            </w:r>
            <w:r/>
          </w:p>
        </w:tc>
        <w:tc>
          <w:tcPr>
            <w:tcW w:w="1237"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交货地点</w:t>
            </w:r>
            <w:r/>
          </w:p>
        </w:tc>
        <w:tc>
          <w:tcPr>
            <w:tcW w:w="3286"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泰州市姜堰区</w:t>
            </w:r>
            <w:r>
              <w:rPr>
                <w:rFonts w:hint="eastAsia" w:ascii="宋体" w:hAnsi="宋体" w:eastAsia="宋体" w:cs="宋体"/>
                <w:bCs/>
                <w:sz w:val="24"/>
                <w:szCs w:val="24"/>
                <w:lang w:val="zh-CN"/>
              </w:rPr>
              <w:t xml:space="preserve">大伦镇卫生院</w:t>
            </w:r>
            <w:r>
              <w:rPr>
                <w:rFonts w:hint="eastAsia" w:ascii="宋体" w:hAnsi="宋体" w:eastAsia="宋体" w:cs="宋体"/>
                <w:bCs/>
                <w:sz w:val="24"/>
                <w:szCs w:val="24"/>
                <w:lang w:val="zh-CN"/>
              </w:rPr>
              <w:t xml:space="preserve">指定地点</w:t>
            </w:r>
            <w:r/>
          </w:p>
        </w:tc>
      </w:tr>
      <w:tr>
        <w:trPr>
          <w:jc w:val="center"/>
          <w:trHeight w:val="837"/>
        </w:trPr>
        <w:tc>
          <w:tcPr>
            <w:tcW w:w="475" w:type="pct"/>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tcW w:w="1237"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包装运输</w:t>
            </w:r>
            <w:r/>
          </w:p>
        </w:tc>
        <w:tc>
          <w:tcPr>
            <w:tcW w:w="3286"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由供应商承担</w:t>
            </w:r>
            <w:r/>
          </w:p>
        </w:tc>
      </w:tr>
      <w:tr>
        <w:trPr>
          <w:jc w:val="center"/>
          <w:trHeight w:val="692"/>
        </w:trPr>
        <w:tc>
          <w:tcPr>
            <w:tcW w:w="475" w:type="pct"/>
            <w:vAlign w:val="center"/>
            <w:textDirection w:val="lrTb"/>
            <w:noWrap w:val="false"/>
          </w:tcPr>
          <w:p>
            <w:pPr>
              <w:jc w:val="center"/>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5</w:t>
            </w:r>
            <w:r/>
          </w:p>
        </w:tc>
        <w:tc>
          <w:tcPr>
            <w:shd w:val="clear" w:color="auto" w:fill="ffffff" w:themeFill="background1"/>
            <w:tcW w:w="1237"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付款方式</w:t>
            </w:r>
            <w:r/>
          </w:p>
        </w:tc>
        <w:tc>
          <w:tcPr>
            <w:shd w:val="clear" w:color="auto" w:fill="ffffff" w:themeFill="background1"/>
            <w:tcW w:w="3286" w:type="pct"/>
            <w:vAlign w:val="center"/>
            <w:textDirection w:val="lrTb"/>
            <w:noWrap w:val="false"/>
          </w:tcPr>
          <w:p>
            <w:pPr>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w:t>
            </w: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）货物运到甲方指定的地点，交付全部相关货物资料，安装调试结束，经使用方验收合格，乙方凭验收合格报告并提交相应单据及发票后，经甲方审批后支付合同总价的</w:t>
            </w:r>
            <w:r>
              <w:rPr>
                <w:rFonts w:ascii="宋体" w:hAnsi="宋体" w:eastAsia="宋体" w:cs="宋体"/>
                <w:bCs/>
                <w:sz w:val="24"/>
                <w:szCs w:val="24"/>
                <w:lang w:val="zh-CN"/>
              </w:rPr>
              <w:t xml:space="preserve">90%</w:t>
            </w:r>
            <w:r>
              <w:rPr>
                <w:rFonts w:hint="eastAsia" w:ascii="宋体" w:hAnsi="宋体" w:eastAsia="宋体" w:cs="宋体"/>
                <w:bCs/>
                <w:sz w:val="24"/>
                <w:szCs w:val="24"/>
                <w:lang w:val="zh-CN"/>
              </w:rPr>
              <w:t xml:space="preserve">；（</w:t>
            </w: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）一年后，支付合同总价的</w:t>
            </w:r>
            <w:r>
              <w:rPr>
                <w:rFonts w:ascii="宋体" w:hAnsi="宋体" w:eastAsia="宋体" w:cs="宋体"/>
                <w:bCs/>
                <w:sz w:val="24"/>
                <w:szCs w:val="24"/>
                <w:lang w:val="zh-CN"/>
              </w:rPr>
              <w:t xml:space="preserve">10%</w:t>
            </w:r>
            <w:r>
              <w:rPr>
                <w:rFonts w:hint="eastAsia" w:ascii="宋体" w:hAnsi="宋体" w:eastAsia="宋体" w:cs="宋体"/>
                <w:bCs/>
                <w:sz w:val="24"/>
                <w:szCs w:val="24"/>
                <w:lang w:val="zh-CN"/>
              </w:rPr>
              <w:t xml:space="preserve">。</w:t>
            </w:r>
            <w:r/>
          </w:p>
        </w:tc>
      </w:tr>
    </w:tbl>
    <w:p>
      <w:pP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四、采购标的</w:t>
      </w:r>
      <w:r>
        <w:rPr>
          <w:rFonts w:hint="eastAsia" w:cs="仿宋" w:asciiTheme="minorEastAsia" w:hAnsiTheme="minorEastAsia" w:eastAsiaTheme="minorEastAsia"/>
          <w:b/>
          <w:bCs/>
          <w:color w:val="000000" w:themeColor="text1"/>
          <w:sz w:val="24"/>
          <w:szCs w:val="24"/>
        </w:rPr>
        <w:t xml:space="preserve">的</w:t>
      </w:r>
      <w:r>
        <w:rPr>
          <w:rFonts w:hint="eastAsia" w:cs="仿宋" w:asciiTheme="minorEastAsia" w:hAnsiTheme="minorEastAsia" w:eastAsiaTheme="minorEastAsia"/>
          <w:b/>
          <w:bCs/>
          <w:color w:val="000000" w:themeColor="text1"/>
          <w:sz w:val="24"/>
          <w:szCs w:val="24"/>
        </w:rPr>
        <w:t xml:space="preserve">所属行业</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rPr>
        <w:t xml:space="preserve"> 工业  </w:t>
      </w:r>
      <w:r>
        <w:rPr>
          <w:rFonts w:hint="eastAsia" w:cs="仿宋" w:asciiTheme="minorEastAsia" w:hAnsiTheme="minorEastAsia" w:eastAsiaTheme="minorEastAsia"/>
          <w:color w:val="000000" w:themeColor="text1"/>
          <w:sz w:val="24"/>
          <w:szCs w:val="24"/>
        </w:rPr>
        <w:t xml:space="preserve">。 </w:t>
      </w:r>
      <w:r/>
    </w:p>
    <w:p>
      <w:pPr>
        <w:rPr>
          <w:rFonts w:hint="eastAsia" w:cs="仿宋" w:asciiTheme="minorEastAsia" w:hAnsiTheme="minorEastAsia" w:eastAsiaTheme="minorEastAsia"/>
          <w:color w:val="000000" w:themeColor="text1"/>
        </w:rPr>
      </w:pPr>
      <w:r>
        <w:rPr>
          <w:rFonts w:cs="仿宋" w:asciiTheme="minorEastAsia" w:hAnsiTheme="minorEastAsia" w:eastAsiaTheme="minorEastAsia"/>
          <w:color w:val="000000" w:themeColor="text1"/>
        </w:rPr>
        <w:br w:type="page" w:clear="all"/>
      </w:r>
      <w:r/>
    </w:p>
    <w:p>
      <w:pPr>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pStyle w:val="972"/>
        <w:numPr>
          <w:ilvl w:val="0"/>
          <w:numId w:val="7"/>
        </w:numPr>
        <w:jc w:val="center"/>
        <w:spacing w:before="0" w:after="0" w:line="240" w:lineRule="auto"/>
        <w:rPr>
          <w:rFonts w:hint="eastAsia" w:cs="仿宋" w:asciiTheme="minorEastAsia" w:hAnsiTheme="minorEastAsia" w:eastAsiaTheme="minorEastAsia"/>
          <w:color w:val="000000" w:themeColor="text1"/>
          <w:sz w:val="32"/>
          <w:szCs w:val="32"/>
        </w:rPr>
      </w:pPr>
      <w:r>
        <w:rPr>
          <w:rFonts w:hint="eastAsia" w:cs="仿宋" w:asciiTheme="minorEastAsia" w:hAnsiTheme="minorEastAsia" w:eastAsiaTheme="minorEastAsia"/>
          <w:color w:val="000000" w:themeColor="text1"/>
          <w:sz w:val="32"/>
          <w:szCs w:val="32"/>
        </w:rPr>
        <w:t xml:space="preserve">评标办法及标准</w:t>
      </w:r>
      <w:bookmarkEnd w:id="41"/>
      <w:r/>
      <w:bookmarkEnd w:id="42"/>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一、评标办法：</w:t>
      </w:r>
      <w:r/>
    </w:p>
    <w:p>
      <w:pPr>
        <w:pStyle w:val="80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本项目评标采用综合评分法，总分为100分。合格投标人的综合得分为各评分项目汇总得分，最终得分为各评委所评定综合得分分值的平均值，并按高低顺序排列。得分相同的，按投标报价（折扣）由低到高顺序排列。评审得分且投标报价（折扣）相同的，按技术方案得分从高到低顺序排列；技术方案</w:t>
      </w:r>
      <w:r>
        <w:rPr>
          <w:rFonts w:hint="eastAsia" w:cs="仿宋" w:asciiTheme="minorEastAsia" w:hAnsiTheme="minorEastAsia" w:eastAsiaTheme="minorEastAsia"/>
          <w:color w:val="000000" w:themeColor="text1"/>
          <w:shd w:val="clear" w:color="auto" w:fill="ffffff"/>
        </w:rPr>
        <w:t xml:space="preserve">得分仍</w:t>
      </w:r>
      <w:r>
        <w:rPr>
          <w:rFonts w:hint="eastAsia" w:cs="仿宋" w:asciiTheme="minorEastAsia" w:hAnsiTheme="minorEastAsia" w:eastAsiaTheme="minorEastAsia"/>
          <w:color w:val="000000" w:themeColor="text1"/>
          <w:shd w:val="clear" w:color="auto" w:fill="ffffff"/>
        </w:rPr>
        <w:t xml:space="preserve">相同的，用抽签方式确定中标候选人顺序。投标文件满足招标文件全部实质性要求，</w:t>
      </w:r>
      <w:r>
        <w:rPr>
          <w:rFonts w:hint="eastAsia" w:cs="仿宋" w:asciiTheme="minorEastAsia" w:hAnsiTheme="minorEastAsia" w:eastAsiaTheme="minorEastAsia"/>
          <w:color w:val="000000" w:themeColor="text1"/>
          <w:shd w:val="clear" w:color="auto" w:fill="ffffff"/>
        </w:rPr>
        <w:t xml:space="preserve">且按照</w:t>
      </w:r>
      <w:r>
        <w:rPr>
          <w:rFonts w:hint="eastAsia" w:cs="仿宋" w:asciiTheme="minorEastAsia" w:hAnsiTheme="minorEastAsia" w:eastAsiaTheme="minorEastAsia"/>
          <w:color w:val="000000" w:themeColor="text1"/>
          <w:shd w:val="clear" w:color="auto" w:fill="ffffff"/>
        </w:rPr>
        <w:t xml:space="preserve">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03"/>
        <w:ind w:firstLine="420"/>
        <w:jc w:val="both"/>
        <w:spacing w:before="0" w:beforeAutospacing="0" w:after="0" w:afterAutospacing="0" w:line="360" w:lineRule="auto"/>
        <w:shd w:val="clear" w:color="auto" w:fill="ffffff"/>
        <w:rPr>
          <w:rFonts w:hint="eastAsia" w:cs="仿宋" w:asciiTheme="minorEastAsia" w:hAnsiTheme="minorEastAsia" w:eastAsiaTheme="minorEastAsia"/>
          <w:b/>
          <w:bCs/>
          <w:color w:val="000000" w:themeColor="text1"/>
          <w:shd w:val="clear" w:color="auto" w:fill="ffffff"/>
        </w:rPr>
      </w:pPr>
      <w:r>
        <w:rPr>
          <w:rFonts w:hint="eastAsia" w:cs="仿宋" w:asciiTheme="minorEastAsia" w:hAnsiTheme="minorEastAsia" w:eastAsiaTheme="minorEastAsia"/>
          <w:b/>
          <w:bCs/>
          <w:color w:val="000000" w:themeColor="text1"/>
          <w:shd w:val="clear" w:color="auto" w:fill="ffffff"/>
        </w:rPr>
        <w:t xml:space="preserve">政府采购政策功能落实</w:t>
      </w:r>
      <w:r/>
    </w:p>
    <w:p>
      <w:pPr>
        <w:pStyle w:val="80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1、小微型企业价格扣除</w:t>
      </w:r>
      <w:r/>
    </w:p>
    <w:p>
      <w:pPr>
        <w:pStyle w:val="80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（1）本项目对小型和微型企业产品给予10%的扣除价格，用扣除后的价格参与评审。</w:t>
      </w:r>
      <w:r/>
    </w:p>
    <w:p>
      <w:pPr>
        <w:pStyle w:val="80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（2）供应商需按照采购文件的要求提供相应的《中小企业声明函》。</w:t>
      </w:r>
      <w:r/>
    </w:p>
    <w:p>
      <w:pPr>
        <w:pStyle w:val="80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（3）企业标准请参照《关于印发中小企业划型标准规定的通知》（工信部联企业[2011]300号）文件规定自行填写。</w:t>
      </w:r>
      <w:r/>
    </w:p>
    <w:p>
      <w:pPr>
        <w:pStyle w:val="80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2、残疾人福利单位价格扣除</w:t>
      </w:r>
      <w:r/>
    </w:p>
    <w:p>
      <w:pPr>
        <w:pStyle w:val="80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（1）本项目对残疾人福利性单位视同小型、微型企业，给予10%的价格扣除，用扣除后的价格参与评审。</w:t>
      </w:r>
      <w:r/>
    </w:p>
    <w:p>
      <w:pPr>
        <w:pStyle w:val="80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（2）残疾人福利单位需按照采购文件的要求提供《残疾人福利性单位声明函》。</w:t>
      </w:r>
      <w:r/>
    </w:p>
    <w:p>
      <w:pPr>
        <w:pStyle w:val="80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（3）残疾人福利单位标准请参照《关于促进残疾人就业政府采购政策的通知》（财库〔2017〕141号）。</w:t>
      </w:r>
      <w:r/>
    </w:p>
    <w:p>
      <w:pPr>
        <w:pStyle w:val="80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3、监狱和戒毒企业价格扣除</w:t>
      </w:r>
      <w:r/>
    </w:p>
    <w:p>
      <w:pPr>
        <w:pStyle w:val="80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（1）本项目对监狱和戒毒企业（简称监狱企业）视同小型、微型企业，给予10%的价格扣除，用扣除后的价格参与评审。</w:t>
      </w:r>
      <w:r/>
    </w:p>
    <w:p>
      <w:pPr>
        <w:pStyle w:val="80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0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（3）监狱企业标准请参照《关于政府采购支持监狱企业发展有关问题的通知》（财库[2014]68号）。</w:t>
      </w:r>
      <w:r/>
    </w:p>
    <w:p>
      <w:pPr>
        <w:pStyle w:val="80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4、残疾人福利单位、监狱企业属于小型、微型企业的，不重复享受政策。</w:t>
      </w:r>
      <w:r/>
    </w:p>
    <w:p>
      <w:pPr>
        <w:pStyle w:val="80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0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6、联合体各方均为小型、微型企业（残疾人福利单位、监狱企业）的，联合体享受10%价格扣除，用扣除后的价格参与评审。</w:t>
      </w:r>
      <w:r/>
    </w:p>
    <w:p>
      <w:pPr>
        <w:pStyle w:val="80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7、专门面向中小企业采购的项目，小</w:t>
      </w:r>
      <w:r>
        <w:rPr>
          <w:rFonts w:hint="eastAsia" w:cs="仿宋" w:asciiTheme="minorEastAsia" w:hAnsiTheme="minorEastAsia" w:eastAsiaTheme="minorEastAsia"/>
          <w:color w:val="000000" w:themeColor="text1"/>
          <w:shd w:val="clear" w:color="auto" w:fill="ffffff"/>
        </w:rPr>
        <w:t xml:space="preserve">微企业</w:t>
      </w:r>
      <w:r>
        <w:rPr>
          <w:rFonts w:hint="eastAsia" w:cs="仿宋" w:asciiTheme="minorEastAsia" w:hAnsiTheme="minorEastAsia" w:eastAsiaTheme="minorEastAsia"/>
          <w:color w:val="000000" w:themeColor="text1"/>
          <w:shd w:val="clear" w:color="auto" w:fill="ffffff"/>
        </w:rPr>
        <w:t xml:space="preserve">不再享受价格扣除优惠政策。</w:t>
      </w:r>
      <w:r/>
    </w:p>
    <w:p>
      <w:pPr>
        <w:numPr>
          <w:ilvl w:val="0"/>
          <w:numId w:val="8"/>
        </w:numPr>
        <w:spacing w:line="360" w:lineRule="auto"/>
        <w:rPr>
          <w:rFonts w:hint="eastAsia" w:cs="仿宋" w:asciiTheme="minorEastAsia" w:hAnsiTheme="minorEastAsia" w:eastAsiaTheme="minorEastAsia"/>
          <w:b/>
          <w:color w:val="000000" w:themeColor="text1"/>
          <w:sz w:val="24"/>
          <w:szCs w:val="24"/>
        </w:rPr>
      </w:pPr>
      <w:r/>
      <w:bookmarkStart w:id="44" w:name="_Hlk147842034"/>
      <w:r>
        <w:rPr>
          <w:rFonts w:hint="eastAsia" w:ascii="宋体" w:hAnsi="宋体" w:eastAsia="宋体"/>
          <w:b/>
          <w:sz w:val="24"/>
          <w:szCs w:val="24"/>
        </w:rPr>
        <w:t xml:space="preserve">评标内容及标准</w:t>
      </w:r>
      <w:r>
        <w:rPr>
          <w:rFonts w:hint="eastAsia" w:cs="仿宋" w:asciiTheme="minorEastAsia" w:hAnsiTheme="minorEastAsia" w:eastAsiaTheme="minorEastAsia"/>
          <w:b/>
          <w:color w:val="000000" w:themeColor="text1"/>
          <w:sz w:val="24"/>
          <w:szCs w:val="24"/>
        </w:rPr>
        <w:t xml:space="preserve">： </w:t>
      </w:r>
      <w:r/>
    </w:p>
    <w:tbl>
      <w:tblPr>
        <w:tblStyle w:val="807"/>
        <w:tblW w:w="5000" w:type="pct"/>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105"/>
        <w:gridCol w:w="1194"/>
        <w:gridCol w:w="5561"/>
        <w:gridCol w:w="656"/>
      </w:tblGrid>
      <w:tr>
        <w:trPr/>
        <w:tc>
          <w:tcPr>
            <w:tcBorders>
              <w:top w:val="single" w:color="000000" w:sz="8" w:space="0"/>
              <w:left w:val="single" w:color="000000" w:sz="8" w:space="0"/>
              <w:bottom w:val="single" w:color="000000" w:sz="8" w:space="0"/>
              <w:right w:val="single" w:color="000000" w:sz="8" w:space="0"/>
            </w:tcBorders>
            <w:tcW w:w="649" w:type="pct"/>
            <w:vAlign w:val="center"/>
            <w:textDirection w:val="lrTb"/>
            <w:noWrap w:val="false"/>
          </w:tcPr>
          <w:p>
            <w:pPr>
              <w:ind w:firstLine="22"/>
              <w:jc w:val="cente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1" w:type="pct"/>
            <w:vAlign w:val="center"/>
            <w:textDirection w:val="lrTb"/>
            <w:noWrap w:val="false"/>
          </w:tcPr>
          <w:p>
            <w:pPr>
              <w:jc w:val="cente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评标项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65" w:type="pct"/>
            <w:vAlign w:val="center"/>
            <w:textDirection w:val="lrTb"/>
            <w:noWrap w:val="false"/>
          </w:tcPr>
          <w:p>
            <w:pPr>
              <w:jc w:val="cente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评标标准及细则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分值</w:t>
            </w:r>
            <w:r/>
          </w:p>
        </w:tc>
      </w:tr>
      <w:tr>
        <w:trPr/>
        <w:tc>
          <w:tcPr>
            <w:tcBorders>
              <w:top w:val="none" w:color="000000" w:sz="4" w:space="0"/>
              <w:left w:val="single" w:color="000000" w:sz="8" w:space="0"/>
              <w:bottom w:val="single" w:color="000000" w:sz="8" w:space="0"/>
              <w:right w:val="single" w:color="000000" w:sz="8" w:space="0"/>
            </w:tcBorders>
            <w:tcW w:w="649" w:type="pct"/>
            <w:vAlign w:val="center"/>
            <w:textDirection w:val="lrTb"/>
            <w:noWrap w:val="false"/>
          </w:tcPr>
          <w:p>
            <w:pPr>
              <w:ind w:firstLine="22"/>
              <w:jc w:val="center"/>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pct"/>
            <w:vAlign w:val="center"/>
            <w:textDirection w:val="lrTb"/>
            <w:noWrap w:val="false"/>
          </w:tcPr>
          <w:p>
            <w:pPr>
              <w:jc w:val="center"/>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5" w:type="pct"/>
            <w:vAlign w:val="center"/>
            <w:textDirection w:val="lrTb"/>
            <w:noWrap w:val="false"/>
          </w:tcPr>
          <w:p>
            <w:pPr>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采用低价优先法计算，即满足招标文件要求且投标价格最低的投标报价为评标基准价，其价格分为满分。其他供应商的价格</w:t>
            </w:r>
            <w:r>
              <w:rPr>
                <w:rFonts w:hint="eastAsia" w:ascii="宋体" w:hAnsi="宋体" w:eastAsia="宋体" w:cs="宋体"/>
                <w:bCs/>
                <w:color w:val="000000" w:themeColor="text1"/>
                <w:sz w:val="24"/>
                <w:szCs w:val="24"/>
              </w:rPr>
              <w:t xml:space="preserve">分统一</w:t>
            </w:r>
            <w:r>
              <w:rPr>
                <w:rFonts w:hint="eastAsia" w:ascii="宋体" w:hAnsi="宋体" w:eastAsia="宋体" w:cs="宋体"/>
                <w:bCs/>
                <w:color w:val="000000" w:themeColor="text1"/>
                <w:sz w:val="24"/>
                <w:szCs w:val="24"/>
              </w:rPr>
              <w:t xml:space="preserve">按照下列公式计算:投标报价得分=(评标基准价/投标报价)×30（小数点保留两位）评标过程中，不得去掉报价中的最高报价和最低报价。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30</w:t>
            </w:r>
            <w:r/>
          </w:p>
        </w:tc>
      </w:tr>
      <w:tr>
        <w:trPr/>
        <w:tc>
          <w:tcPr>
            <w:tcBorders>
              <w:top w:val="none" w:color="000000" w:sz="4" w:space="0"/>
              <w:left w:val="single" w:color="000000" w:sz="8" w:space="0"/>
              <w:bottom w:val="single" w:color="000000" w:sz="8" w:space="0"/>
              <w:right w:val="single" w:color="000000" w:sz="8" w:space="0"/>
            </w:tcBorders>
            <w:tcW w:w="649" w:type="pct"/>
            <w:vAlign w:val="center"/>
            <w:textDirection w:val="lrTb"/>
            <w:noWrap w:val="false"/>
          </w:tcPr>
          <w:p>
            <w:pPr>
              <w:ind w:left="24"/>
              <w:jc w:val="center"/>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pct"/>
            <w:vAlign w:val="center"/>
            <w:textDirection w:val="lrTb"/>
            <w:noWrap w:val="false"/>
          </w:tcPr>
          <w:p>
            <w:pPr>
              <w:ind w:left="91"/>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技术、性能、配置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5" w:type="pct"/>
            <w:vAlign w:val="center"/>
            <w:textDirection w:val="lrTb"/>
            <w:noWrap w:val="false"/>
          </w:tcPr>
          <w:p>
            <w:pPr>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评委根据招标文件中《技术规格及商务要求》，结合投标文件提供的佐证材料等进行评审：</w:t>
            </w:r>
            <w:r/>
          </w:p>
          <w:p>
            <w:pPr>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1、全部满足标书基本要求得55分，正偏离不加分，有一项★</w:t>
            </w:r>
            <w:r>
              <w:rPr>
                <w:rFonts w:hint="eastAsia" w:ascii="宋体" w:hAnsi="宋体" w:eastAsia="宋体" w:cs="宋体"/>
                <w:bCs/>
                <w:color w:val="000000" w:themeColor="text1"/>
                <w:sz w:val="24"/>
                <w:szCs w:val="24"/>
              </w:rPr>
              <w:t xml:space="preserve">号指标负</w:t>
            </w:r>
            <w:r>
              <w:rPr>
                <w:rFonts w:hint="eastAsia" w:ascii="宋体" w:hAnsi="宋体" w:eastAsia="宋体" w:cs="宋体"/>
                <w:bCs/>
                <w:color w:val="000000" w:themeColor="text1"/>
                <w:sz w:val="24"/>
                <w:szCs w:val="24"/>
              </w:rPr>
              <w:t xml:space="preserve">偏离</w:t>
            </w:r>
            <w:r>
              <w:rPr>
                <w:rFonts w:hint="eastAsia" w:ascii="宋体" w:hAnsi="宋体" w:eastAsia="宋体" w:cs="宋体"/>
                <w:bCs/>
                <w:color w:val="000000" w:themeColor="text1"/>
                <w:sz w:val="24"/>
                <w:szCs w:val="24"/>
              </w:rPr>
              <w:t xml:space="preserve">做废</w:t>
            </w:r>
            <w:r>
              <w:rPr>
                <w:rFonts w:hint="eastAsia" w:ascii="宋体" w:hAnsi="宋体" w:eastAsia="宋体" w:cs="宋体"/>
                <w:bCs/>
                <w:color w:val="000000" w:themeColor="text1"/>
                <w:sz w:val="24"/>
                <w:szCs w:val="24"/>
              </w:rPr>
              <w:t xml:space="preserve">标处理；</w:t>
            </w:r>
            <w:r/>
          </w:p>
          <w:p>
            <w:pPr>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2、有一项▲</w:t>
            </w:r>
            <w:r>
              <w:rPr>
                <w:rFonts w:hint="eastAsia" w:ascii="宋体" w:hAnsi="宋体" w:eastAsia="宋体" w:cs="宋体"/>
                <w:bCs/>
                <w:color w:val="000000" w:themeColor="text1"/>
                <w:sz w:val="24"/>
                <w:szCs w:val="24"/>
              </w:rPr>
              <w:t xml:space="preserve">号指标负</w:t>
            </w:r>
            <w:r>
              <w:rPr>
                <w:rFonts w:hint="eastAsia" w:ascii="宋体" w:hAnsi="宋体" w:eastAsia="宋体" w:cs="宋体"/>
                <w:bCs/>
                <w:color w:val="000000" w:themeColor="text1"/>
                <w:sz w:val="24"/>
                <w:szCs w:val="24"/>
              </w:rPr>
              <w:t xml:space="preserve">偏离扣</w:t>
            </w:r>
            <w:r>
              <w:rPr>
                <w:rFonts w:ascii="宋体" w:hAnsi="宋体" w:eastAsia="宋体" w:cs="宋体"/>
                <w:bCs/>
                <w:color w:val="000000" w:themeColor="text1"/>
                <w:sz w:val="24"/>
                <w:szCs w:val="24"/>
              </w:rPr>
              <w:t xml:space="preserve">3</w:t>
            </w:r>
            <w:r>
              <w:rPr>
                <w:rFonts w:hint="eastAsia" w:ascii="宋体" w:hAnsi="宋体" w:eastAsia="宋体" w:cs="宋体"/>
                <w:bCs/>
                <w:color w:val="000000" w:themeColor="text1"/>
                <w:sz w:val="24"/>
                <w:szCs w:val="24"/>
              </w:rPr>
              <w:t xml:space="preserve">分；（★号、▲</w:t>
            </w:r>
            <w:r>
              <w:rPr>
                <w:rFonts w:hint="eastAsia" w:ascii="宋体" w:hAnsi="宋体" w:eastAsia="宋体" w:cs="宋体"/>
                <w:bCs/>
                <w:color w:val="000000" w:themeColor="text1"/>
                <w:sz w:val="24"/>
                <w:szCs w:val="24"/>
              </w:rPr>
              <w:t xml:space="preserve">号指标须</w:t>
            </w:r>
            <w:r>
              <w:rPr>
                <w:rFonts w:hint="eastAsia" w:ascii="宋体" w:hAnsi="宋体" w:eastAsia="宋体" w:cs="宋体"/>
                <w:bCs/>
                <w:color w:val="000000" w:themeColor="text1"/>
                <w:sz w:val="24"/>
                <w:szCs w:val="24"/>
              </w:rPr>
              <w:t xml:space="preserve">提供相关证明材料（包括制造商盖章的技术白皮书、Data Sheet、国家承认的第三方机构出具的检测报告、厂家公开发行的宣传彩页、音视频截图等）并在投标文件技术参数偏离表备注栏中标注相应证明文件页码，未标注页码视为负偏离）</w:t>
            </w:r>
            <w:r/>
          </w:p>
          <w:p>
            <w:pPr>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3、非★、▲</w:t>
            </w:r>
            <w:r>
              <w:rPr>
                <w:rFonts w:hint="eastAsia" w:ascii="宋体" w:hAnsi="宋体" w:eastAsia="宋体" w:cs="宋体"/>
                <w:bCs/>
                <w:color w:val="000000" w:themeColor="text1"/>
                <w:sz w:val="24"/>
                <w:szCs w:val="24"/>
              </w:rPr>
              <w:t xml:space="preserve">号指标每负</w:t>
            </w:r>
            <w:r>
              <w:rPr>
                <w:rFonts w:hint="eastAsia" w:ascii="宋体" w:hAnsi="宋体" w:eastAsia="宋体" w:cs="宋体"/>
                <w:bCs/>
                <w:color w:val="000000" w:themeColor="text1"/>
                <w:sz w:val="24"/>
                <w:szCs w:val="24"/>
              </w:rPr>
              <w:t xml:space="preserve">偏离一项扣</w:t>
            </w:r>
            <w:r>
              <w:rPr>
                <w:rFonts w:ascii="宋体" w:hAnsi="宋体" w:eastAsia="宋体" w:cs="宋体"/>
                <w:bCs/>
                <w:color w:val="000000" w:themeColor="text1"/>
                <w:sz w:val="24"/>
                <w:szCs w:val="24"/>
              </w:rPr>
              <w:t xml:space="preserve">1</w:t>
            </w:r>
            <w:r>
              <w:rPr>
                <w:rFonts w:hint="eastAsia" w:ascii="宋体" w:hAnsi="宋体" w:eastAsia="宋体" w:cs="宋体"/>
                <w:bCs/>
                <w:color w:val="000000" w:themeColor="text1"/>
                <w:sz w:val="24"/>
                <w:szCs w:val="24"/>
              </w:rPr>
              <w:t xml:space="preserve">分，扣完为止。</w:t>
            </w:r>
            <w:r/>
          </w:p>
          <w:p>
            <w:pPr>
              <w:rPr>
                <w:color w:val="000000" w:themeColor="text1"/>
              </w:rPr>
            </w:pPr>
            <w:r>
              <w:rPr>
                <w:rFonts w:hint="eastAsia" w:ascii="宋体" w:hAnsi="宋体" w:eastAsia="宋体" w:cs="宋体"/>
                <w:bCs/>
                <w:color w:val="000000" w:themeColor="text1"/>
                <w:sz w:val="24"/>
                <w:szCs w:val="24"/>
              </w:rPr>
              <w:t xml:space="preserve">4、产品交付验收时，招标人将对技术规格要求中的★号、▲</w:t>
            </w:r>
            <w:r>
              <w:rPr>
                <w:rFonts w:hint="eastAsia" w:ascii="宋体" w:hAnsi="宋体" w:eastAsia="宋体" w:cs="宋体"/>
                <w:bCs/>
                <w:color w:val="000000" w:themeColor="text1"/>
                <w:sz w:val="24"/>
                <w:szCs w:val="24"/>
              </w:rPr>
              <w:t xml:space="preserve">号指标</w:t>
            </w:r>
            <w:r>
              <w:rPr>
                <w:rFonts w:hint="eastAsia" w:ascii="宋体" w:hAnsi="宋体" w:eastAsia="宋体" w:cs="宋体"/>
                <w:bCs/>
                <w:color w:val="000000" w:themeColor="text1"/>
                <w:sz w:val="24"/>
                <w:szCs w:val="24"/>
              </w:rPr>
              <w:t xml:space="preserve">进行逐一核实验收，如发现虚假</w:t>
            </w:r>
            <w:r>
              <w:rPr>
                <w:rFonts w:hint="eastAsia" w:ascii="宋体" w:hAnsi="宋体" w:eastAsia="宋体" w:cs="宋体"/>
                <w:bCs/>
                <w:color w:val="000000" w:themeColor="text1"/>
                <w:sz w:val="24"/>
                <w:szCs w:val="24"/>
              </w:rPr>
              <w:t xml:space="preserve">应标，或无法实现关键技术指标功能，有权向采购主管部门进行举报，</w:t>
            </w:r>
            <w:r>
              <w:rPr>
                <w:rFonts w:hint="eastAsia" w:ascii="宋体" w:hAnsi="宋体" w:eastAsia="宋体" w:cs="宋体"/>
                <w:bCs/>
                <w:color w:val="000000" w:themeColor="text1"/>
                <w:sz w:val="24"/>
                <w:szCs w:val="24"/>
              </w:rPr>
              <w:t xml:space="preserve">由成交</w:t>
            </w:r>
            <w:r>
              <w:rPr>
                <w:rFonts w:hint="eastAsia" w:ascii="宋体" w:hAnsi="宋体" w:eastAsia="宋体" w:cs="宋体"/>
                <w:bCs/>
                <w:color w:val="000000" w:themeColor="text1"/>
                <w:sz w:val="24"/>
                <w:szCs w:val="24"/>
              </w:rPr>
              <w:t xml:space="preserve">供应商承担一切法律责任。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55</w:t>
            </w:r>
            <w:r/>
          </w:p>
        </w:tc>
      </w:tr>
      <w:tr>
        <w:trPr>
          <w:trHeight w:val="585"/>
        </w:trPr>
        <w:tc>
          <w:tcPr>
            <w:tcBorders>
              <w:top w:val="none" w:color="000000" w:sz="4" w:space="0"/>
              <w:left w:val="single" w:color="000000" w:sz="8" w:space="0"/>
              <w:bottom w:val="single" w:color="000000" w:sz="8" w:space="0"/>
              <w:right w:val="single" w:color="000000" w:sz="8" w:space="0"/>
            </w:tcBorders>
            <w:tcW w:w="649" w:type="pct"/>
            <w:vAlign w:val="center"/>
            <w:textDirection w:val="lrTb"/>
            <w:noWrap w:val="false"/>
          </w:tcPr>
          <w:p>
            <w:pPr>
              <w:ind w:firstLine="22"/>
              <w:jc w:val="center"/>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pct"/>
            <w:vAlign w:val="center"/>
            <w:textDirection w:val="lrTb"/>
            <w:noWrap w:val="false"/>
          </w:tcPr>
          <w:p>
            <w:pPr>
              <w:ind w:hanging="8"/>
              <w:jc w:val="center"/>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技术培训方案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5" w:type="pct"/>
            <w:vAlign w:val="center"/>
            <w:textDirection w:val="lrTb"/>
            <w:noWrap w:val="false"/>
          </w:tcPr>
          <w:p>
            <w:pPr>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投标人提供对用户的操作培训、业务功能培训等相关培训计划方案，除正常操作培训外，针对甲方是教学培训单位的特点，提出其他技术培训保障方案；</w:t>
            </w:r>
            <w:r/>
          </w:p>
          <w:p>
            <w:pPr>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1、技术培训保障方案内容详实、科学、合理，考虑周全，培训计划针对性强、内容详实，培训人员配备齐全、技术水平高、分工明确、岗位设置科学合理，培训</w:t>
            </w:r>
            <w:r>
              <w:rPr>
                <w:rFonts w:hint="eastAsia" w:ascii="宋体" w:hAnsi="宋体" w:eastAsia="宋体" w:cs="宋体"/>
                <w:bCs/>
                <w:color w:val="000000" w:themeColor="text1"/>
                <w:sz w:val="24"/>
                <w:szCs w:val="24"/>
              </w:rPr>
              <w:t xml:space="preserve">率承诺高</w:t>
            </w:r>
            <w:r>
              <w:rPr>
                <w:rFonts w:hint="eastAsia" w:ascii="宋体" w:hAnsi="宋体" w:eastAsia="宋体" w:cs="宋体"/>
                <w:bCs/>
                <w:color w:val="000000" w:themeColor="text1"/>
                <w:sz w:val="24"/>
                <w:szCs w:val="24"/>
              </w:rPr>
              <w:t xml:space="preserve">，得</w:t>
            </w:r>
            <w:r>
              <w:rPr>
                <w:rFonts w:ascii="宋体" w:hAnsi="宋体" w:eastAsia="宋体" w:cs="宋体"/>
                <w:bCs/>
                <w:color w:val="000000" w:themeColor="text1"/>
                <w:sz w:val="24"/>
                <w:szCs w:val="24"/>
              </w:rPr>
              <w:t xml:space="preserve">5</w:t>
            </w:r>
            <w:r>
              <w:rPr>
                <w:rFonts w:hint="eastAsia" w:ascii="宋体" w:hAnsi="宋体" w:eastAsia="宋体" w:cs="宋体"/>
                <w:bCs/>
                <w:color w:val="000000" w:themeColor="text1"/>
                <w:sz w:val="24"/>
                <w:szCs w:val="24"/>
              </w:rPr>
              <w:t xml:space="preserve">分。</w:t>
            </w:r>
            <w:r/>
          </w:p>
          <w:p>
            <w:pPr>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2、技术培训保障方案内容详实、考虑较全，培训计划具体，培训人员齐全，培训</w:t>
            </w:r>
            <w:r>
              <w:rPr>
                <w:rFonts w:hint="eastAsia" w:ascii="宋体" w:hAnsi="宋体" w:eastAsia="宋体" w:cs="宋体"/>
                <w:bCs/>
                <w:color w:val="000000" w:themeColor="text1"/>
                <w:sz w:val="24"/>
                <w:szCs w:val="24"/>
              </w:rPr>
              <w:t xml:space="preserve">率承诺</w:t>
            </w:r>
            <w:r>
              <w:rPr>
                <w:rFonts w:hint="eastAsia" w:ascii="宋体" w:hAnsi="宋体" w:eastAsia="宋体" w:cs="宋体"/>
                <w:bCs/>
                <w:color w:val="000000" w:themeColor="text1"/>
                <w:sz w:val="24"/>
                <w:szCs w:val="24"/>
              </w:rPr>
              <w:t xml:space="preserve">较高，得</w:t>
            </w:r>
            <w:r>
              <w:rPr>
                <w:rFonts w:ascii="宋体" w:hAnsi="宋体" w:eastAsia="宋体" w:cs="宋体"/>
                <w:bCs/>
                <w:color w:val="000000" w:themeColor="text1"/>
                <w:sz w:val="24"/>
                <w:szCs w:val="24"/>
              </w:rPr>
              <w:t xml:space="preserve">3</w:t>
            </w:r>
            <w:r>
              <w:rPr>
                <w:rFonts w:hint="eastAsia" w:ascii="宋体" w:hAnsi="宋体" w:eastAsia="宋体" w:cs="宋体"/>
                <w:bCs/>
                <w:color w:val="000000" w:themeColor="text1"/>
                <w:sz w:val="24"/>
                <w:szCs w:val="24"/>
              </w:rPr>
              <w:t xml:space="preserve">分。</w:t>
            </w:r>
            <w:r/>
          </w:p>
          <w:p>
            <w:pPr>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3、技术培训保障方案表述简单，培训计划简单、培训人员较少，培训</w:t>
            </w:r>
            <w:r>
              <w:rPr>
                <w:rFonts w:hint="eastAsia" w:ascii="宋体" w:hAnsi="宋体" w:eastAsia="宋体" w:cs="宋体"/>
                <w:bCs/>
                <w:color w:val="000000" w:themeColor="text1"/>
                <w:sz w:val="24"/>
                <w:szCs w:val="24"/>
              </w:rPr>
              <w:t xml:space="preserve">率承诺</w:t>
            </w:r>
            <w:r>
              <w:rPr>
                <w:rFonts w:hint="eastAsia" w:ascii="宋体" w:hAnsi="宋体" w:eastAsia="宋体" w:cs="宋体"/>
                <w:bCs/>
                <w:color w:val="000000" w:themeColor="text1"/>
                <w:sz w:val="24"/>
                <w:szCs w:val="24"/>
              </w:rPr>
              <w:t xml:space="preserve">一般，得</w:t>
            </w:r>
            <w:r>
              <w:rPr>
                <w:rFonts w:ascii="宋体" w:hAnsi="宋体" w:eastAsia="宋体" w:cs="宋体"/>
                <w:bCs/>
                <w:color w:val="000000" w:themeColor="text1"/>
                <w:sz w:val="24"/>
                <w:szCs w:val="24"/>
              </w:rPr>
              <w:t xml:space="preserve">1</w:t>
            </w:r>
            <w:r>
              <w:rPr>
                <w:rFonts w:hint="eastAsia" w:ascii="宋体" w:hAnsi="宋体" w:eastAsia="宋体" w:cs="宋体"/>
                <w:bCs/>
                <w:color w:val="000000" w:themeColor="text1"/>
                <w:sz w:val="24"/>
                <w:szCs w:val="24"/>
              </w:rPr>
              <w:t xml:space="preserve">分。</w:t>
            </w:r>
            <w:r/>
          </w:p>
          <w:p>
            <w:pPr>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4、未提供方案或方案无可行性不得分。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themeColor="text1"/>
                <w:sz w:val="24"/>
                <w:szCs w:val="24"/>
              </w:rPr>
              <w:t xml:space="preserve">5</w:t>
            </w:r>
            <w:r/>
          </w:p>
        </w:tc>
      </w:tr>
      <w:tr>
        <w:trPr/>
        <w:tc>
          <w:tcPr>
            <w:tcBorders>
              <w:top w:val="none" w:color="000000" w:sz="4" w:space="0"/>
              <w:left w:val="single" w:color="000000" w:sz="8" w:space="0"/>
              <w:bottom w:val="single" w:color="000000" w:sz="8" w:space="0"/>
              <w:right w:val="single" w:color="000000" w:sz="8" w:space="0"/>
            </w:tcBorders>
            <w:tcW w:w="649" w:type="pct"/>
            <w:vAlign w:val="center"/>
            <w:textDirection w:val="lrTb"/>
            <w:noWrap w:val="false"/>
          </w:tcPr>
          <w:p>
            <w:pPr>
              <w:ind w:firstLine="22"/>
              <w:jc w:val="center"/>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pct"/>
            <w:vAlign w:val="center"/>
            <w:textDirection w:val="lrTb"/>
            <w:noWrap w:val="false"/>
          </w:tcPr>
          <w:p>
            <w:pPr>
              <w:jc w:val="center"/>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售后服务实施方案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5" w:type="pct"/>
            <w:vAlign w:val="center"/>
            <w:textDirection w:val="lrTb"/>
            <w:noWrap w:val="false"/>
          </w:tcPr>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售后服务实施响应：根据投标人质保期内售后服务（响应时间，回访巡检方案、故障解决措施、技术人员保障、备品配件价格等）、本地化服务方案（江苏省内各服务网点、维修网点设置情况以及技术人员安排情况）等服务内容</w:t>
            </w:r>
            <w:r/>
          </w:p>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1）售后方案内容详实、科学、合理，考虑周全，对产品质量管控措施要求全面到位，相关服务承诺内容详实，人员配备齐全，分工明确、岗位设置科学合理，人员配备齐全、设备配备齐全、先进者得</w:t>
            </w:r>
            <w:r>
              <w:rPr>
                <w:rFonts w:ascii="宋体" w:hAnsi="宋体" w:eastAsia="宋体" w:cs="宋体"/>
                <w:bCs/>
                <w:color w:val="000000" w:themeColor="text1"/>
                <w:sz w:val="24"/>
                <w:szCs w:val="24"/>
              </w:rPr>
              <w:t xml:space="preserve">5</w:t>
            </w:r>
            <w:r>
              <w:rPr>
                <w:rFonts w:hint="eastAsia" w:ascii="宋体" w:hAnsi="宋体" w:eastAsia="宋体" w:cs="宋体"/>
                <w:bCs/>
                <w:color w:val="000000" w:themeColor="text1"/>
                <w:sz w:val="24"/>
                <w:szCs w:val="24"/>
              </w:rPr>
              <w:t xml:space="preserve">分；</w:t>
            </w:r>
            <w:r/>
          </w:p>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2）售后方案内容详实、考虑较全，对产品质量管控措施要求到位，相关服务承诺内容具体，人员配备齐全、设备配备齐全者得</w:t>
            </w:r>
            <w:r>
              <w:rPr>
                <w:rFonts w:ascii="宋体" w:hAnsi="宋体" w:eastAsia="宋体" w:cs="宋体"/>
                <w:bCs/>
                <w:color w:val="000000" w:themeColor="text1"/>
                <w:sz w:val="24"/>
                <w:szCs w:val="24"/>
              </w:rPr>
              <w:t xml:space="preserve">3</w:t>
            </w:r>
            <w:r>
              <w:rPr>
                <w:rFonts w:hint="eastAsia" w:ascii="宋体" w:hAnsi="宋体" w:eastAsia="宋体" w:cs="宋体"/>
                <w:bCs/>
                <w:color w:val="000000" w:themeColor="text1"/>
                <w:sz w:val="24"/>
                <w:szCs w:val="24"/>
              </w:rPr>
              <w:t xml:space="preserve">分；</w:t>
            </w:r>
            <w:r/>
          </w:p>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3）技术培训保障方案表述简单，培训计划简单、培训人员较少，培训</w:t>
            </w:r>
            <w:r>
              <w:rPr>
                <w:rFonts w:hint="eastAsia" w:ascii="宋体" w:hAnsi="宋体" w:eastAsia="宋体" w:cs="宋体"/>
                <w:bCs/>
                <w:color w:val="000000" w:themeColor="text1"/>
                <w:sz w:val="24"/>
                <w:szCs w:val="24"/>
              </w:rPr>
              <w:t xml:space="preserve">率承诺</w:t>
            </w:r>
            <w:r>
              <w:rPr>
                <w:rFonts w:hint="eastAsia" w:ascii="宋体" w:hAnsi="宋体" w:eastAsia="宋体" w:cs="宋体"/>
                <w:bCs/>
                <w:color w:val="000000" w:themeColor="text1"/>
                <w:sz w:val="24"/>
                <w:szCs w:val="24"/>
              </w:rPr>
              <w:t xml:space="preserve">一般者得</w:t>
            </w:r>
            <w:r>
              <w:rPr>
                <w:rFonts w:ascii="宋体" w:hAnsi="宋体" w:eastAsia="宋体" w:cs="宋体"/>
                <w:bCs/>
                <w:color w:val="000000" w:themeColor="text1"/>
                <w:sz w:val="24"/>
                <w:szCs w:val="24"/>
              </w:rPr>
              <w:t xml:space="preserve">1</w:t>
            </w:r>
            <w:r>
              <w:rPr>
                <w:rFonts w:hint="eastAsia" w:ascii="宋体" w:hAnsi="宋体" w:eastAsia="宋体" w:cs="宋体"/>
                <w:bCs/>
                <w:color w:val="000000" w:themeColor="text1"/>
                <w:sz w:val="24"/>
                <w:szCs w:val="24"/>
              </w:rPr>
              <w:t xml:space="preserve">分；</w:t>
            </w:r>
            <w:r/>
          </w:p>
          <w:p>
            <w:pP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4）未提供服务方案的不得分。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themeColor="text1"/>
                <w:sz w:val="24"/>
                <w:szCs w:val="24"/>
              </w:rPr>
              <w:t xml:space="preserve">5</w:t>
            </w:r>
            <w:r/>
          </w:p>
        </w:tc>
      </w:tr>
      <w:tr>
        <w:trPr/>
        <w:tc>
          <w:tcPr>
            <w:tcBorders>
              <w:top w:val="none" w:color="000000" w:sz="4" w:space="0"/>
              <w:left w:val="single" w:color="000000" w:sz="8" w:space="0"/>
              <w:bottom w:val="single" w:color="000000" w:sz="8" w:space="0"/>
              <w:right w:val="single" w:color="000000" w:sz="8" w:space="0"/>
            </w:tcBorders>
            <w:tcW w:w="649" w:type="pct"/>
            <w:vAlign w:val="center"/>
            <w:textDirection w:val="lrTb"/>
            <w:noWrap w:val="false"/>
          </w:tcPr>
          <w:p>
            <w:pPr>
              <w:ind w:firstLine="22"/>
              <w:jc w:val="center"/>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pct"/>
            <w:vAlign w:val="center"/>
            <w:textDirection w:val="lrTb"/>
            <w:noWrap w:val="false"/>
          </w:tcPr>
          <w:p>
            <w:pPr>
              <w:jc w:val="center"/>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5" w:type="pct"/>
            <w:vAlign w:val="center"/>
            <w:textDirection w:val="lrTb"/>
            <w:noWrap w:val="false"/>
          </w:tcPr>
          <w:p>
            <w:pPr>
              <w:pStyle w:val="781"/>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投标人提供的售后服务</w:t>
            </w:r>
            <w:r>
              <w:rPr>
                <w:rFonts w:hint="eastAsia" w:ascii="宋体" w:hAnsi="宋体" w:eastAsia="宋体" w:cs="宋体"/>
                <w:bCs/>
                <w:color w:val="000000" w:themeColor="text1"/>
                <w:sz w:val="24"/>
                <w:szCs w:val="24"/>
              </w:rPr>
              <w:t xml:space="preserve">承诺书需响应</w:t>
            </w:r>
            <w:r>
              <w:rPr>
                <w:rFonts w:hint="eastAsia" w:ascii="宋体" w:hAnsi="宋体" w:eastAsia="宋体" w:cs="宋体"/>
                <w:bCs/>
                <w:color w:val="000000" w:themeColor="text1"/>
                <w:sz w:val="24"/>
                <w:szCs w:val="24"/>
              </w:rPr>
              <w:t xml:space="preserve">招标文件要求的免费质保期，</w:t>
            </w:r>
            <w:r>
              <w:rPr>
                <w:rFonts w:ascii="宋体" w:hAnsi="宋体" w:eastAsia="宋体" w:cs="宋体"/>
                <w:bCs/>
                <w:color w:val="000000" w:themeColor="text1"/>
                <w:sz w:val="24"/>
                <w:szCs w:val="24"/>
              </w:rPr>
              <w:t xml:space="preserve">质</w:t>
            </w:r>
            <w:r>
              <w:rPr>
                <w:rFonts w:ascii="宋体" w:hAnsi="宋体" w:eastAsia="宋体" w:cs="宋体"/>
                <w:bCs/>
                <w:color w:val="000000" w:themeColor="text1"/>
                <w:sz w:val="24"/>
                <w:szCs w:val="24"/>
              </w:rPr>
              <w:t xml:space="preserve">保</w:t>
            </w:r>
            <w:r>
              <w:rPr>
                <w:rFonts w:hint="eastAsia" w:ascii="宋体" w:hAnsi="宋体" w:eastAsia="宋体" w:cs="宋体"/>
                <w:bCs/>
                <w:color w:val="000000" w:themeColor="text1"/>
                <w:sz w:val="24"/>
                <w:szCs w:val="24"/>
              </w:rPr>
              <w:t xml:space="preserve">满足</w:t>
            </w:r>
            <w:r>
              <w:rPr>
                <w:rFonts w:hint="eastAsia" w:ascii="宋体" w:hAnsi="宋体" w:eastAsia="宋体" w:cs="宋体"/>
                <w:bCs/>
                <w:color w:val="000000" w:themeColor="text1"/>
                <w:sz w:val="24"/>
                <w:szCs w:val="24"/>
              </w:rPr>
              <w:t xml:space="preserve">招标文件要求得3分，超过1年加1分，最多得5分。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5</w:t>
            </w:r>
            <w:r/>
          </w:p>
        </w:tc>
      </w:tr>
      <w:tr>
        <w:trPr/>
        <w:tc>
          <w:tcPr>
            <w:gridSpan w:val="3"/>
            <w:tcBorders>
              <w:top w:val="none" w:color="000000" w:sz="4" w:space="0"/>
              <w:left w:val="single" w:color="000000" w:sz="8" w:space="0"/>
              <w:bottom w:val="single" w:color="000000" w:sz="8" w:space="0"/>
              <w:right w:val="single" w:color="000000" w:sz="8" w:space="0"/>
            </w:tcBorders>
            <w:tcW w:w="4615" w:type="pct"/>
            <w:textDirection w:val="lrTb"/>
            <w:noWrap w:val="false"/>
          </w:tcPr>
          <w:p>
            <w:pPr>
              <w:jc w:val="cente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100</w:t>
            </w:r>
            <w:r/>
          </w:p>
        </w:tc>
      </w:tr>
    </w:tbl>
    <w:p>
      <w:pPr>
        <w:pStyle w:val="806"/>
        <w:ind w:firstLine="0"/>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三、推荐中标候选人:</w:t>
      </w:r>
      <w:r/>
    </w:p>
    <w:p>
      <w:pPr>
        <w:ind w:firstLine="488"/>
        <w:spacing w:line="360" w:lineRule="auto"/>
        <w:rPr>
          <w:rFonts w:hint="eastAsia" w:cs="仿宋" w:asciiTheme="minorEastAsia" w:hAnsiTheme="minorEastAsia" w:eastAsiaTheme="minorEastAsia"/>
          <w:bCs/>
          <w:color w:val="000000" w:themeColor="text1"/>
          <w:sz w:val="24"/>
          <w:szCs w:val="24"/>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bCs/>
          <w:color w:val="000000" w:themeColor="text1"/>
          <w:sz w:val="24"/>
          <w:szCs w:val="24"/>
        </w:rPr>
        <w:t xml:space="preserve">汇总上述各项分值（保留两位小数,小数点后第三位四舍五入），按总得分由高到低的顺序排列,综合得分最高的为中标候选人</w:t>
      </w:r>
      <w:bookmarkEnd w:id="44"/>
      <w:r/>
      <w:r/>
    </w:p>
    <w:p>
      <w:pPr>
        <w:spacing w:line="300" w:lineRule="auto"/>
        <w:rPr>
          <w:rFonts w:hint="eastAsia"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r>
      <w:r/>
    </w:p>
    <w:p>
      <w:pPr>
        <w:jc w:val="center"/>
        <w:spacing w:line="300" w:lineRule="auto"/>
        <w:rPr>
          <w:rFonts w:hint="eastAsia"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t xml:space="preserve">第五章 合同条款</w:t>
      </w:r>
      <w:r/>
    </w:p>
    <w:p>
      <w:pPr>
        <w:ind w:firstLine="567"/>
        <w:jc w:val="center"/>
        <w:rPr>
          <w:rFonts w:hint="eastAsia" w:ascii="宋体" w:hAnsi="宋体" w:eastAsia="宋体" w:cs="仿宋"/>
          <w:bCs/>
          <w:color w:val="000000" w:themeColor="text1"/>
          <w:sz w:val="24"/>
          <w:szCs w:val="24"/>
        </w:rPr>
      </w:pPr>
      <w:r>
        <w:rPr>
          <w:rFonts w:hint="eastAsia" w:ascii="宋体" w:hAnsi="宋体" w:eastAsia="宋体" w:cs="仿宋"/>
          <w:bCs/>
          <w:color w:val="000000" w:themeColor="text1"/>
          <w:sz w:val="24"/>
          <w:szCs w:val="24"/>
        </w:rPr>
      </w:r>
      <w:r/>
    </w:p>
    <w:p>
      <w:pPr>
        <w:ind w:firstLine="480"/>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注：本合同仅为合同的参考文本，合同签订双方可根据项目的具体要求进行修订，但不得更改实质性要求。</w:t>
      </w:r>
      <w:r/>
    </w:p>
    <w:p>
      <w:pPr>
        <w:ind w:firstLine="480"/>
        <w:spacing w:line="360" w:lineRule="auto"/>
        <w:rPr>
          <w:rFonts w:hint="eastAsia" w:ascii="宋体" w:hAnsi="宋体" w:eastAsia="宋体" w:cs="宋体"/>
          <w:bCs/>
          <w:position w:val="-10"/>
          <w:sz w:val="24"/>
        </w:rPr>
      </w:pPr>
      <w:r/>
      <w:bookmarkStart w:id="45" w:name="_Toc513029243"/>
      <w:r/>
      <w:bookmarkStart w:id="46" w:name="_Toc20823315"/>
      <w:r/>
      <w:bookmarkStart w:id="47" w:name="_Toc16938559"/>
      <w:r>
        <w:rPr>
          <w:rFonts w:hint="eastAsia" w:ascii="宋体" w:hAnsi="宋体" w:eastAsia="宋体" w:cs="宋体"/>
          <w:bCs/>
          <w:position w:val="-10"/>
          <w:sz w:val="24"/>
        </w:rPr>
        <w:t xml:space="preserve">以下为中标后</w:t>
      </w:r>
      <w:r>
        <w:rPr>
          <w:rFonts w:hint="eastAsia" w:ascii="宋体" w:hAnsi="宋体" w:eastAsia="宋体" w:cs="宋体"/>
          <w:bCs/>
          <w:position w:val="-10"/>
          <w:sz w:val="24"/>
        </w:rPr>
        <w:t xml:space="preserve">签定</w:t>
      </w:r>
      <w:r>
        <w:rPr>
          <w:rFonts w:hint="eastAsia" w:ascii="宋体" w:hAnsi="宋体" w:eastAsia="宋体" w:cs="宋体"/>
          <w:bCs/>
          <w:position w:val="-10"/>
          <w:sz w:val="24"/>
        </w:rPr>
        <w:t xml:space="preserve">本项目合同的通用条款，采购人与中标人应按此签订采购合同。中标人不得提出实质性的修改，关于专用条款将由采购人与中标人结合本项目具体情况协商后签订。</w:t>
      </w:r>
      <w:bookmarkEnd w:id="45"/>
      <w:r/>
      <w:bookmarkEnd w:id="46"/>
      <w:r/>
      <w:bookmarkEnd w:id="47"/>
      <w:r/>
      <w:r/>
    </w:p>
    <w:p>
      <w:pPr>
        <w:jc w:val="center"/>
        <w:spacing w:line="360" w:lineRule="auto"/>
        <w:rPr>
          <w:rFonts w:hint="eastAsia" w:ascii="宋体" w:hAnsi="宋体" w:eastAsia="宋体"/>
          <w:bCs/>
          <w:position w:val="-10"/>
          <w:sz w:val="44"/>
          <w:szCs w:val="44"/>
        </w:rPr>
      </w:pPr>
      <w:r>
        <w:rPr>
          <w:rFonts w:hint="eastAsia" w:ascii="宋体" w:hAnsi="宋体" w:eastAsia="宋体"/>
          <w:bCs/>
          <w:position w:val="-10"/>
          <w:sz w:val="44"/>
          <w:szCs w:val="44"/>
        </w:rPr>
        <w:t xml:space="preserve">医疗设备采购合同</w:t>
      </w:r>
      <w:r/>
    </w:p>
    <w:p>
      <w:pPr>
        <w:spacing w:line="360" w:lineRule="auto"/>
        <w:rPr>
          <w:rFonts w:hint="eastAsia" w:ascii="宋体" w:hAnsi="宋体" w:eastAsia="宋体"/>
          <w:bCs/>
          <w:position w:val="-10"/>
          <w:sz w:val="28"/>
          <w:szCs w:val="28"/>
        </w:rPr>
      </w:pPr>
      <w:r>
        <w:rPr>
          <w:rFonts w:hint="eastAsia" w:ascii="宋体" w:hAnsi="宋体" w:eastAsia="宋体"/>
          <w:bCs/>
          <w:position w:val="-10"/>
          <w:sz w:val="28"/>
          <w:szCs w:val="28"/>
        </w:rPr>
      </w:r>
      <w:r/>
    </w:p>
    <w:p>
      <w:pPr>
        <w:spacing w:line="360" w:lineRule="auto"/>
        <w:rPr>
          <w:rFonts w:hint="eastAsia" w:ascii="宋体" w:hAnsi="宋体" w:eastAsia="宋体"/>
          <w:bCs/>
          <w:position w:val="-10"/>
          <w:sz w:val="28"/>
          <w:szCs w:val="28"/>
        </w:rPr>
      </w:pPr>
      <w:r>
        <w:rPr>
          <w:rFonts w:hint="eastAsia" w:ascii="宋体" w:hAnsi="宋体" w:eastAsia="宋体"/>
          <w:bCs/>
          <w:position w:val="-10"/>
          <w:sz w:val="28"/>
          <w:szCs w:val="28"/>
        </w:rPr>
        <w:t xml:space="preserve">甲方：</w:t>
      </w:r>
      <w:r>
        <w:rPr>
          <w:rFonts w:hint="eastAsia" w:ascii="宋体" w:hAnsi="宋体" w:eastAsia="宋体"/>
          <w:bCs/>
          <w:position w:val="-10"/>
          <w:sz w:val="28"/>
          <w:szCs w:val="28"/>
        </w:rPr>
        <w:t xml:space="preserve">泰州市姜堰区</w:t>
      </w:r>
      <w:r>
        <w:rPr>
          <w:rFonts w:hint="eastAsia" w:ascii="宋体" w:hAnsi="宋体" w:eastAsia="宋体"/>
          <w:bCs/>
          <w:position w:val="-10"/>
          <w:sz w:val="28"/>
          <w:szCs w:val="28"/>
        </w:rPr>
        <w:t xml:space="preserve">大伦镇卫生院</w:t>
      </w:r>
      <w:r>
        <w:rPr>
          <w:rFonts w:hint="eastAsia" w:ascii="宋体" w:hAnsi="宋体" w:eastAsia="宋体"/>
          <w:bCs/>
          <w:position w:val="-10"/>
          <w:sz w:val="28"/>
          <w:szCs w:val="28"/>
        </w:rPr>
        <w:t xml:space="preserve">     </w:t>
      </w:r>
      <w:r/>
    </w:p>
    <w:p>
      <w:pPr>
        <w:spacing w:line="360" w:lineRule="auto"/>
        <w:rPr>
          <w:rFonts w:hint="eastAsia" w:ascii="宋体" w:hAnsi="宋体" w:eastAsia="宋体"/>
          <w:bCs/>
          <w:position w:val="-10"/>
          <w:sz w:val="28"/>
          <w:szCs w:val="28"/>
        </w:rPr>
      </w:pPr>
      <w:r>
        <w:rPr>
          <w:rFonts w:ascii="宋体" w:hAnsi="宋体" w:eastAsia="宋体"/>
          <w:bCs/>
          <w:position w:val="-10"/>
          <w:sz w:val="28"/>
          <w:szCs w:val="28"/>
        </w:rPr>
        <w:t xml:space="preserve">地址：</w:t>
      </w:r>
      <w:r>
        <w:rPr>
          <w:rFonts w:hint="eastAsia" w:ascii="宋体" w:hAnsi="宋体" w:eastAsia="宋体"/>
          <w:bCs/>
          <w:position w:val="-10"/>
          <w:sz w:val="28"/>
          <w:szCs w:val="28"/>
        </w:rPr>
        <w:t xml:space="preserve"> </w:t>
      </w:r>
      <w:r/>
    </w:p>
    <w:p>
      <w:pPr>
        <w:spacing w:line="360" w:lineRule="auto"/>
        <w:rPr>
          <w:rFonts w:hint="eastAsia" w:ascii="宋体" w:hAnsi="宋体" w:eastAsia="宋体"/>
          <w:bCs/>
          <w:position w:val="-10"/>
          <w:sz w:val="28"/>
          <w:szCs w:val="28"/>
        </w:rPr>
      </w:pPr>
      <w:r>
        <w:rPr>
          <w:rFonts w:ascii="宋体" w:hAnsi="宋体" w:eastAsia="宋体"/>
          <w:bCs/>
          <w:position w:val="-10"/>
          <w:sz w:val="28"/>
          <w:szCs w:val="28"/>
        </w:rPr>
        <w:t xml:space="preserve">电话：</w:t>
      </w:r>
      <w:r>
        <w:rPr>
          <w:rFonts w:hint="eastAsia" w:ascii="宋体" w:hAnsi="宋体" w:eastAsia="宋体"/>
          <w:bCs/>
          <w:position w:val="-10"/>
          <w:sz w:val="28"/>
          <w:szCs w:val="28"/>
        </w:rPr>
        <w:t xml:space="preserve"> </w:t>
      </w:r>
      <w:r/>
    </w:p>
    <w:p>
      <w:pPr>
        <w:spacing w:line="360" w:lineRule="auto"/>
        <w:rPr>
          <w:rFonts w:hint="eastAsia" w:ascii="宋体" w:hAnsi="宋体" w:eastAsia="宋体"/>
          <w:bCs/>
          <w:position w:val="-10"/>
          <w:sz w:val="28"/>
          <w:szCs w:val="28"/>
        </w:rPr>
      </w:pPr>
      <w:r>
        <w:rPr>
          <w:rFonts w:hint="eastAsia" w:ascii="宋体" w:hAnsi="宋体" w:eastAsia="宋体"/>
          <w:bCs/>
          <w:position w:val="-10"/>
          <w:sz w:val="28"/>
          <w:szCs w:val="28"/>
        </w:rPr>
      </w:r>
      <w:r/>
    </w:p>
    <w:p>
      <w:pPr>
        <w:spacing w:line="360" w:lineRule="auto"/>
        <w:rPr>
          <w:rFonts w:hint="eastAsia" w:ascii="宋体" w:hAnsi="宋体" w:eastAsia="宋体"/>
          <w:bCs/>
          <w:position w:val="-10"/>
          <w:sz w:val="28"/>
          <w:szCs w:val="28"/>
        </w:rPr>
      </w:pPr>
      <w:r>
        <w:rPr>
          <w:rFonts w:hint="eastAsia" w:ascii="宋体" w:hAnsi="宋体" w:eastAsia="宋体"/>
          <w:bCs/>
          <w:position w:val="-10"/>
          <w:sz w:val="28"/>
          <w:szCs w:val="28"/>
        </w:rPr>
        <w:t xml:space="preserve">乙方：</w:t>
      </w:r>
      <w:r/>
    </w:p>
    <w:p>
      <w:pPr>
        <w:spacing w:line="360" w:lineRule="auto"/>
        <w:rPr>
          <w:rFonts w:hint="eastAsia" w:ascii="宋体" w:hAnsi="宋体" w:eastAsia="宋体"/>
          <w:bCs/>
          <w:position w:val="-10"/>
          <w:sz w:val="28"/>
          <w:szCs w:val="28"/>
        </w:rPr>
      </w:pPr>
      <w:r>
        <w:rPr>
          <w:rFonts w:hint="eastAsia" w:ascii="宋体" w:hAnsi="宋体" w:eastAsia="宋体"/>
          <w:bCs/>
          <w:position w:val="-10"/>
          <w:sz w:val="28"/>
          <w:szCs w:val="28"/>
        </w:rPr>
        <w:t xml:space="preserve">地址：</w:t>
      </w:r>
      <w:r/>
    </w:p>
    <w:p>
      <w:pPr>
        <w:spacing w:line="360" w:lineRule="auto"/>
        <w:rPr>
          <w:rFonts w:hint="eastAsia" w:ascii="宋体" w:hAnsi="宋体" w:eastAsia="宋体"/>
          <w:bCs/>
          <w:position w:val="-10"/>
          <w:sz w:val="28"/>
          <w:szCs w:val="28"/>
        </w:rPr>
      </w:pPr>
      <w:r>
        <w:rPr>
          <w:rFonts w:hint="eastAsia" w:ascii="宋体" w:hAnsi="宋体" w:eastAsia="宋体"/>
          <w:bCs/>
          <w:position w:val="-10"/>
          <w:sz w:val="28"/>
          <w:szCs w:val="28"/>
        </w:rPr>
        <w:t xml:space="preserve">电话：</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经甲、乙双方协商，就乙方销售给甲方的医疗设备，特订立本合同。</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一、设备名称、厂家、型号、数量和价格。</w:t>
      </w:r>
      <w:r/>
    </w:p>
    <w:tbl>
      <w:tblPr>
        <w:tblW w:w="9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58"/>
        <w:gridCol w:w="1875"/>
        <w:gridCol w:w="1950"/>
        <w:gridCol w:w="925"/>
        <w:gridCol w:w="1260"/>
        <w:gridCol w:w="1620"/>
      </w:tblGrid>
      <w:tr>
        <w:trPr>
          <w:trHeight w:val="307"/>
        </w:trPr>
        <w:tc>
          <w:tcPr>
            <w:tcW w:w="1658"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t xml:space="preserve">设备名称</w:t>
            </w:r>
            <w:r/>
          </w:p>
        </w:tc>
        <w:tc>
          <w:tcPr>
            <w:tcW w:w="1875"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t xml:space="preserve">生产厂家</w:t>
            </w:r>
            <w:r/>
          </w:p>
        </w:tc>
        <w:tc>
          <w:tcPr>
            <w:tcW w:w="1950"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t xml:space="preserve">规格型号</w:t>
            </w:r>
            <w:r/>
          </w:p>
        </w:tc>
        <w:tc>
          <w:tcPr>
            <w:tcW w:w="925"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t xml:space="preserve">数量</w:t>
            </w:r>
            <w:r/>
          </w:p>
        </w:tc>
        <w:tc>
          <w:tcPr>
            <w:tcW w:w="1260"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t xml:space="preserve">单价（元）</w:t>
            </w:r>
            <w:r/>
          </w:p>
        </w:tc>
        <w:tc>
          <w:tcPr>
            <w:tcW w:w="1620"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t xml:space="preserve">成交价（元）</w:t>
            </w:r>
            <w:r/>
          </w:p>
        </w:tc>
      </w:tr>
      <w:tr>
        <w:trPr>
          <w:trHeight w:val="171"/>
        </w:trPr>
        <w:tc>
          <w:tcPr>
            <w:tcW w:w="1658" w:type="dxa"/>
            <w:textDirection w:val="lrTb"/>
            <w:noWrap w:val="false"/>
          </w:tcPr>
          <w:p>
            <w:pPr>
              <w:ind w:firstLine="240"/>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875"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950"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925"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260" w:type="dxa"/>
            <w:textDirection w:val="lrTb"/>
            <w:noWrap w:val="false"/>
          </w:tcPr>
          <w:p>
            <w:pPr>
              <w:ind w:firstLine="120"/>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620" w:type="dxa"/>
            <w:textDirection w:val="lrTb"/>
            <w:noWrap w:val="false"/>
          </w:tcPr>
          <w:p>
            <w:pPr>
              <w:ind w:firstLine="120"/>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r>
      <w:tr>
        <w:trPr>
          <w:trHeight w:val="171"/>
        </w:trPr>
        <w:tc>
          <w:tcPr>
            <w:tcW w:w="1658" w:type="dxa"/>
            <w:textDirection w:val="lrTb"/>
            <w:noWrap w:val="false"/>
          </w:tcPr>
          <w:p>
            <w:pPr>
              <w:ind w:firstLine="240"/>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875"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950"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925"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260" w:type="dxa"/>
            <w:textDirection w:val="lrTb"/>
            <w:noWrap w:val="false"/>
          </w:tcPr>
          <w:p>
            <w:pPr>
              <w:ind w:firstLine="120"/>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620" w:type="dxa"/>
            <w:textDirection w:val="lrTb"/>
            <w:noWrap w:val="false"/>
          </w:tcPr>
          <w:p>
            <w:pPr>
              <w:ind w:firstLine="120"/>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r>
      <w:tr>
        <w:trPr>
          <w:trHeight w:val="70"/>
        </w:trPr>
        <w:tc>
          <w:tcPr>
            <w:gridSpan w:val="4"/>
            <w:tcW w:w="6408" w:type="dxa"/>
            <w:textDirection w:val="lrTb"/>
            <w:noWrap w:val="false"/>
          </w:tcPr>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总计(大写):</w:t>
            </w:r>
            <w:r/>
          </w:p>
        </w:tc>
        <w:tc>
          <w:tcPr>
            <w:gridSpan w:val="2"/>
            <w:tcW w:w="2880" w:type="dxa"/>
            <w:textDirection w:val="lrTb"/>
            <w:noWrap w:val="false"/>
          </w:tcPr>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（小写）：￥</w:t>
            </w:r>
            <w:r/>
          </w:p>
        </w:tc>
      </w:tr>
    </w:tbl>
    <w:p>
      <w:pPr>
        <w:ind w:firstLine="480"/>
        <w:spacing w:line="360" w:lineRule="auto"/>
        <w:rPr>
          <w:rFonts w:hint="eastAsia" w:ascii="宋体" w:hAnsi="宋体" w:eastAsia="宋体" w:cs="等线"/>
          <w:bCs/>
          <w:color w:val="000000"/>
          <w:position w:val="-10"/>
          <w:sz w:val="24"/>
        </w:rPr>
      </w:pPr>
      <w:r>
        <w:rPr>
          <w:rFonts w:hint="eastAsia" w:ascii="宋体" w:hAnsi="宋体" w:eastAsia="宋体"/>
          <w:bCs/>
          <w:color w:val="000000"/>
          <w:position w:val="-10"/>
          <w:sz w:val="24"/>
        </w:rPr>
        <w:t xml:space="preserve">1.上述价格含设备制造、包装、仓储、运输、退换货、安装、调试以及提供相应的培训，</w:t>
      </w:r>
      <w:r>
        <w:rPr>
          <w:rFonts w:hint="eastAsia" w:ascii="宋体" w:hAnsi="宋体" w:eastAsia="宋体" w:cs="等线"/>
          <w:bCs/>
          <w:color w:val="000000"/>
          <w:position w:val="-10"/>
          <w:sz w:val="24"/>
        </w:rPr>
        <w:t xml:space="preserve">验收合格之前和</w:t>
      </w:r>
      <w:r>
        <w:rPr>
          <w:rFonts w:hint="eastAsia" w:ascii="宋体" w:hAnsi="宋体" w:eastAsia="宋体" w:cs="等线"/>
          <w:bCs/>
          <w:color w:val="000000"/>
          <w:position w:val="-10"/>
          <w:sz w:val="24"/>
        </w:rPr>
        <w:t xml:space="preserve">质保期</w:t>
      </w:r>
      <w:r>
        <w:rPr>
          <w:rFonts w:hint="eastAsia" w:ascii="宋体" w:hAnsi="宋体" w:eastAsia="宋体" w:cs="等线"/>
          <w:bCs/>
          <w:color w:val="000000"/>
          <w:position w:val="-10"/>
          <w:sz w:val="24"/>
        </w:rPr>
        <w:t xml:space="preserve">内备品、备件发生的所有含税费用，以及包装拆除物</w:t>
      </w:r>
      <w:r>
        <w:rPr>
          <w:rFonts w:hint="eastAsia" w:ascii="宋体" w:hAnsi="宋体" w:eastAsia="宋体" w:cs="等线"/>
          <w:bCs/>
          <w:color w:val="000000"/>
          <w:position w:val="-10"/>
          <w:sz w:val="24"/>
        </w:rPr>
        <w:t xml:space="preserve">的清理费用。</w:t>
      </w:r>
      <w:r/>
    </w:p>
    <w:p>
      <w:pPr>
        <w:ind w:firstLine="480"/>
        <w:spacing w:line="360" w:lineRule="auto"/>
        <w:rPr>
          <w:rFonts w:hint="eastAsia" w:ascii="宋体" w:hAnsi="宋体" w:eastAsia="宋体" w:cs="等线"/>
          <w:bCs/>
          <w:color w:val="000000"/>
          <w:position w:val="-10"/>
          <w:sz w:val="24"/>
        </w:rPr>
      </w:pPr>
      <w:r>
        <w:rPr>
          <w:rFonts w:hint="eastAsia" w:ascii="宋体" w:hAnsi="宋体" w:eastAsia="宋体" w:cs="等线"/>
          <w:bCs/>
          <w:color w:val="000000"/>
          <w:position w:val="-10"/>
          <w:sz w:val="24"/>
        </w:rPr>
        <w:t xml:space="preserve">2.质保期内的维护、保养（含设备所有部件）与技术支持等事项而发生的一切费用，均已包含在合同总价中，由乙方自行承担。</w:t>
      </w:r>
      <w:r/>
    </w:p>
    <w:p>
      <w:pPr>
        <w:ind w:firstLine="480"/>
        <w:spacing w:line="360" w:lineRule="auto"/>
        <w:rPr>
          <w:rFonts w:hint="eastAsia" w:ascii="宋体" w:hAnsi="宋体" w:eastAsia="宋体" w:cs="等线"/>
          <w:bCs/>
          <w:color w:val="000000"/>
          <w:position w:val="-10"/>
          <w:sz w:val="24"/>
        </w:rPr>
      </w:pPr>
      <w:r>
        <w:rPr>
          <w:rFonts w:hint="eastAsia" w:ascii="宋体" w:hAnsi="宋体" w:eastAsia="宋体" w:cs="等线"/>
          <w:bCs/>
          <w:color w:val="000000"/>
          <w:position w:val="-10"/>
          <w:sz w:val="24"/>
        </w:rPr>
        <w:t xml:space="preserve">3.乙方未按本合同约定提交设备所产生的任何费用由乙方负责，甲方对由此所引起的任何价格变动不予承认。</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二、设备详细配置清单见附件。</w:t>
      </w:r>
      <w:r/>
    </w:p>
    <w:p>
      <w:pPr>
        <w:spacing w:line="360" w:lineRule="auto"/>
        <w:rPr>
          <w:rFonts w:hint="eastAsia" w:ascii="宋体" w:hAnsi="宋体" w:eastAsia="宋体"/>
          <w:bCs/>
          <w:color w:val="000000"/>
          <w:position w:val="-10"/>
          <w:sz w:val="24"/>
        </w:rPr>
      </w:pPr>
      <w:r>
        <w:rPr>
          <w:rFonts w:hint="eastAsia" w:ascii="宋体" w:hAnsi="宋体" w:eastAsia="宋体"/>
          <w:bCs/>
          <w:color w:val="000000"/>
          <w:position w:val="-10"/>
          <w:sz w:val="24"/>
        </w:rPr>
        <w:t xml:space="preserve">三、付款方式：  </w:t>
      </w:r>
      <w:r/>
    </w:p>
    <w:p>
      <w:pPr>
        <w:spacing w:line="360" w:lineRule="auto"/>
        <w:rPr>
          <w:rFonts w:hint="eastAsia" w:ascii="宋体" w:hAnsi="宋体" w:eastAsia="宋体"/>
          <w:bCs/>
          <w:color w:val="000000"/>
          <w:position w:val="-10"/>
          <w:sz w:val="24"/>
        </w:rPr>
      </w:pPr>
      <w:r>
        <w:rPr>
          <w:rFonts w:hint="eastAsia" w:ascii="宋体" w:hAnsi="宋体" w:eastAsia="宋体"/>
          <w:bCs/>
          <w:position w:val="-10"/>
          <w:sz w:val="24"/>
        </w:rPr>
        <w:t xml:space="preserve">四、交货期：合同生效之日起 </w:t>
      </w:r>
      <w:r>
        <w:rPr>
          <w:rFonts w:hint="eastAsia" w:ascii="宋体" w:hAnsi="宋体" w:eastAsia="宋体"/>
          <w:bCs/>
          <w:position w:val="-10"/>
          <w:sz w:val="24"/>
          <w:u w:val="single"/>
        </w:rPr>
        <w:t xml:space="preserve">  </w:t>
      </w:r>
      <w:r>
        <w:rPr>
          <w:rFonts w:ascii="宋体" w:hAnsi="宋体" w:eastAsia="宋体"/>
          <w:bCs/>
          <w:position w:val="-10"/>
          <w:sz w:val="24"/>
          <w:u w:val="single"/>
        </w:rPr>
        <w:t xml:space="preserve">   </w:t>
      </w:r>
      <w:r>
        <w:rPr>
          <w:rFonts w:hint="eastAsia" w:ascii="宋体" w:hAnsi="宋体" w:eastAsia="宋体"/>
          <w:bCs/>
          <w:position w:val="-10"/>
          <w:sz w:val="24"/>
          <w:u w:val="single"/>
        </w:rPr>
        <w:t xml:space="preserve"> </w:t>
      </w:r>
      <w:r>
        <w:rPr>
          <w:rFonts w:hint="eastAsia" w:ascii="宋体" w:hAnsi="宋体" w:eastAsia="宋体"/>
          <w:bCs/>
          <w:position w:val="-10"/>
          <w:sz w:val="24"/>
        </w:rPr>
        <w:t xml:space="preserve">内货物运抵医</w:t>
      </w:r>
      <w:r>
        <w:rPr>
          <w:rFonts w:hint="eastAsia" w:ascii="宋体" w:hAnsi="宋体" w:eastAsia="宋体"/>
          <w:bCs/>
          <w:color w:val="000000"/>
          <w:position w:val="-10"/>
          <w:sz w:val="24"/>
        </w:rPr>
        <w:t xml:space="preserve">院并安装完毕。</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五、交货地点：</w:t>
      </w:r>
      <w:r>
        <w:rPr>
          <w:rFonts w:hint="eastAsia" w:ascii="宋体" w:hAnsi="宋体" w:eastAsia="宋体"/>
          <w:bCs/>
          <w:position w:val="-10"/>
          <w:sz w:val="24"/>
        </w:rPr>
        <w:t xml:space="preserve">泰州市姜堰区</w:t>
      </w:r>
      <w:r>
        <w:rPr>
          <w:rFonts w:hint="eastAsia" w:ascii="宋体" w:hAnsi="宋体" w:eastAsia="宋体"/>
          <w:bCs/>
          <w:position w:val="-10"/>
          <w:sz w:val="24"/>
        </w:rPr>
        <w:t xml:space="preserve">大伦镇卫生院</w:t>
      </w:r>
      <w:r>
        <w:rPr>
          <w:rFonts w:hint="eastAsia" w:ascii="宋体" w:hAnsi="宋体" w:eastAsia="宋体"/>
          <w:bCs/>
          <w:position w:val="-10"/>
          <w:sz w:val="24"/>
        </w:rPr>
        <w:t xml:space="preserve">指定地点。</w:t>
      </w:r>
      <w:r/>
    </w:p>
    <w:p>
      <w:pPr>
        <w:spacing w:line="360" w:lineRule="auto"/>
        <w:rPr>
          <w:rFonts w:hint="eastAsia" w:ascii="宋体" w:hAnsi="宋体" w:eastAsia="宋体"/>
          <w:bCs/>
          <w:color w:val="ff0000"/>
          <w:position w:val="-10"/>
          <w:sz w:val="24"/>
        </w:rPr>
      </w:pPr>
      <w:r>
        <w:rPr>
          <w:rFonts w:hint="eastAsia" w:ascii="宋体" w:hAnsi="宋体" w:eastAsia="宋体"/>
          <w:bCs/>
          <w:position w:val="-10"/>
          <w:sz w:val="24"/>
        </w:rPr>
        <w:t xml:space="preserve">六、质保期：上述设备提供原厂质保期</w:t>
      </w:r>
      <w:r>
        <w:rPr>
          <w:rFonts w:hint="eastAsia" w:ascii="宋体" w:hAnsi="宋体" w:eastAsia="宋体"/>
          <w:bCs/>
          <w:position w:val="-10"/>
          <w:sz w:val="24"/>
          <w:u w:val="single"/>
        </w:rPr>
        <w:t xml:space="preserve">  </w:t>
      </w:r>
      <w:r>
        <w:rPr>
          <w:rFonts w:ascii="宋体" w:hAnsi="宋体" w:eastAsia="宋体"/>
          <w:bCs/>
          <w:position w:val="-10"/>
          <w:sz w:val="24"/>
          <w:u w:val="single"/>
        </w:rPr>
        <w:t xml:space="preserve"> </w:t>
      </w:r>
      <w:r>
        <w:rPr>
          <w:rFonts w:hint="eastAsia" w:ascii="宋体" w:hAnsi="宋体" w:eastAsia="宋体"/>
          <w:bCs/>
          <w:position w:val="-10"/>
          <w:sz w:val="24"/>
          <w:u w:val="single"/>
        </w:rPr>
        <w:t xml:space="preserve"> </w:t>
      </w:r>
      <w:r>
        <w:rPr>
          <w:rFonts w:hint="eastAsia" w:ascii="宋体" w:hAnsi="宋体" w:eastAsia="宋体"/>
          <w:bCs/>
          <w:position w:val="-10"/>
          <w:sz w:val="24"/>
        </w:rPr>
        <w:t xml:space="preserve">年(全保)，所有维修配件均为原厂全新合格产品；质保期从设备安装调试验收合格并完成培训之日算起，保修期外乙方对</w:t>
      </w:r>
      <w:r>
        <w:rPr>
          <w:rFonts w:hint="eastAsia" w:ascii="宋体" w:hAnsi="宋体" w:eastAsia="宋体"/>
          <w:bCs/>
          <w:position w:val="-10"/>
          <w:sz w:val="24"/>
        </w:rPr>
        <w:t xml:space="preserve">本设备</w:t>
      </w:r>
      <w:r>
        <w:rPr>
          <w:rFonts w:hint="eastAsia" w:ascii="宋体" w:hAnsi="宋体" w:eastAsia="宋体"/>
          <w:bCs/>
          <w:position w:val="-10"/>
          <w:sz w:val="24"/>
        </w:rPr>
        <w:t xml:space="preserve">终身负责维修。</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七、资质、质量要求及技术标准：</w:t>
      </w:r>
      <w:r/>
    </w:p>
    <w:p>
      <w:pPr>
        <w:ind w:firstLine="480"/>
        <w:spacing w:line="360" w:lineRule="auto"/>
        <w:rPr>
          <w:rFonts w:hint="eastAsia" w:ascii="宋体" w:hAnsi="宋体" w:eastAsia="宋体" w:cs="等线"/>
          <w:bCs/>
          <w:position w:val="-10"/>
          <w:sz w:val="24"/>
        </w:rPr>
      </w:pPr>
      <w:r>
        <w:rPr>
          <w:rFonts w:hint="eastAsia" w:ascii="宋体" w:hAnsi="宋体" w:eastAsia="宋体" w:cs="等线"/>
          <w:bCs/>
          <w:position w:val="-10"/>
          <w:sz w:val="24"/>
        </w:rPr>
        <w:t xml:space="preserve">1．特别提醒条款：a、所提供医疗器械产品注册证必须真实有效；b、所提供设备的投标文件、资料以及设备上的中文品名和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bCs/>
          <w:color w:val="0000ff"/>
          <w:position w:val="-10"/>
          <w:sz w:val="24"/>
        </w:rPr>
      </w:pPr>
      <w:r>
        <w:rPr>
          <w:rFonts w:hint="eastAsia" w:ascii="宋体" w:hAnsi="宋体" w:eastAsia="宋体"/>
          <w:bCs/>
          <w:color w:val="000000"/>
          <w:position w:val="-10"/>
          <w:sz w:val="24"/>
        </w:rPr>
        <w:t xml:space="preserve">2．</w:t>
      </w:r>
      <w:r>
        <w:rPr>
          <w:rFonts w:hint="eastAsia" w:ascii="宋体" w:hAnsi="宋体" w:eastAsia="宋体"/>
          <w:bCs/>
          <w:position w:val="-10"/>
          <w:sz w:val="24"/>
        </w:rPr>
        <w:t xml:space="preserve">乙方保证向甲方提供设备满足中国国家标准或相关行业标准。根据国家规定，如需要提供计量检定证书、3C认证证书和标记的设备及有关配置，必须提供上述证书和标记。</w:t>
      </w:r>
      <w:r/>
    </w:p>
    <w:p>
      <w:pPr>
        <w:ind w:firstLine="480"/>
        <w:spacing w:line="360" w:lineRule="auto"/>
        <w:rPr>
          <w:rFonts w:hint="eastAsia" w:ascii="宋体" w:hAnsi="宋体" w:eastAsia="宋体"/>
          <w:bCs/>
          <w:color w:val="000000"/>
          <w:position w:val="-10"/>
          <w:sz w:val="24"/>
        </w:rPr>
      </w:pPr>
      <w:r>
        <w:rPr>
          <w:rFonts w:hint="eastAsia" w:ascii="宋体" w:hAnsi="宋体" w:eastAsia="宋体"/>
          <w:bCs/>
          <w:position w:val="-10"/>
          <w:sz w:val="24"/>
        </w:rPr>
        <w:t xml:space="preserve">3．乙</w:t>
      </w:r>
      <w:r>
        <w:rPr>
          <w:rFonts w:hint="eastAsia" w:ascii="宋体" w:hAnsi="宋体" w:eastAsia="宋体"/>
          <w:bCs/>
          <w:color w:val="000000"/>
          <w:position w:val="-10"/>
          <w:sz w:val="24"/>
        </w:rPr>
        <w:t xml:space="preserve">方保证所提供设备型号是最新的，且是上等材料和工艺制成、全新，并严格保持原包装，不得对原出厂设备进行改装，设备的生产日期不得早于实际安装日期前六个月，以设备出厂铭牌上标注日期为准，否则甲方有权要求乙方进行更换，并且保证10年正常运行所需的备品备件，否则造成的逾期交货等一切损失由乙方负全部责任。</w:t>
      </w:r>
      <w:r/>
    </w:p>
    <w:p>
      <w:pPr>
        <w:ind w:firstLine="480"/>
        <w:spacing w:line="360" w:lineRule="auto"/>
        <w:rPr>
          <w:rFonts w:hint="eastAsia" w:ascii="宋体" w:hAnsi="宋体" w:eastAsia="宋体"/>
          <w:bCs/>
          <w:color w:val="000000"/>
          <w:position w:val="-10"/>
          <w:sz w:val="24"/>
        </w:rPr>
      </w:pPr>
      <w:r>
        <w:rPr>
          <w:rFonts w:hint="eastAsia" w:ascii="宋体" w:hAnsi="宋体" w:eastAsia="宋体"/>
          <w:bCs/>
          <w:position w:val="-10"/>
          <w:sz w:val="24"/>
        </w:rPr>
        <w:t xml:space="preserve">4．</w:t>
      </w:r>
      <w:r>
        <w:rPr>
          <w:rFonts w:hint="eastAsia" w:ascii="宋体" w:hAnsi="宋体" w:eastAsia="宋体"/>
          <w:bCs/>
          <w:color w:val="000000"/>
          <w:position w:val="-10"/>
          <w:sz w:val="24"/>
        </w:rPr>
        <w:t xml:space="preserve">乙方应保证其提供的货物在正确安装、正常使用和保养条件下，在其使用寿命内具有良好的性能。乙方所提供设备如验收不合格，根据甲方要求，乙方必须无条</w:t>
      </w:r>
      <w:r>
        <w:rPr>
          <w:rFonts w:hint="eastAsia" w:ascii="宋体" w:hAnsi="宋体" w:eastAsia="宋体"/>
          <w:bCs/>
          <w:color w:val="000000"/>
          <w:position w:val="-10"/>
          <w:sz w:val="24"/>
        </w:rPr>
        <w:t xml:space="preserve">件换货或退货，货物验收后，在质量保证期内，乙方应对由于设计、工艺或材料的缺陷所发生的任何不足或故障负责，由此引起的一切损失由乙方承担。</w:t>
      </w:r>
      <w:r/>
    </w:p>
    <w:p>
      <w:pPr>
        <w:spacing w:line="360" w:lineRule="auto"/>
        <w:rPr>
          <w:rFonts w:hint="eastAsia" w:ascii="宋体" w:hAnsi="宋体" w:eastAsia="宋体"/>
          <w:bCs/>
          <w:color w:val="000000"/>
          <w:position w:val="-10"/>
          <w:sz w:val="24"/>
        </w:rPr>
      </w:pPr>
      <w:r>
        <w:rPr>
          <w:rFonts w:hint="eastAsia" w:ascii="宋体" w:hAnsi="宋体" w:eastAsia="宋体"/>
          <w:bCs/>
          <w:position w:val="-10"/>
          <w:sz w:val="24"/>
        </w:rPr>
        <w:t xml:space="preserve">八、</w:t>
      </w:r>
      <w:r>
        <w:rPr>
          <w:rFonts w:hint="eastAsia" w:ascii="宋体" w:hAnsi="宋体" w:eastAsia="宋体"/>
          <w:bCs/>
          <w:color w:val="000000"/>
          <w:position w:val="-10"/>
          <w:sz w:val="24"/>
        </w:rPr>
        <w:t xml:space="preserve">设备包装、到货、安装和验收要求：</w:t>
      </w:r>
      <w:r/>
    </w:p>
    <w:p>
      <w:pPr>
        <w:ind w:firstLine="480"/>
        <w:spacing w:line="360" w:lineRule="auto"/>
        <w:rPr>
          <w:rFonts w:hint="eastAsia" w:ascii="宋体" w:hAnsi="宋体" w:eastAsia="宋体"/>
          <w:bCs/>
          <w:color w:val="000000"/>
          <w:position w:val="-10"/>
          <w:sz w:val="24"/>
        </w:rPr>
      </w:pPr>
      <w:r>
        <w:rPr>
          <w:rFonts w:hint="eastAsia" w:ascii="宋体" w:hAnsi="宋体" w:eastAsia="宋体"/>
          <w:bCs/>
          <w:position w:val="-10"/>
          <w:sz w:val="24"/>
        </w:rPr>
        <w:t xml:space="preserve">1</w:t>
      </w:r>
      <w:r>
        <w:rPr>
          <w:rFonts w:hint="eastAsia" w:ascii="宋体" w:hAnsi="宋体" w:eastAsia="宋体"/>
          <w:bCs/>
          <w:color w:val="0000ff"/>
          <w:position w:val="-10"/>
          <w:sz w:val="24"/>
        </w:rPr>
        <w:t xml:space="preserve">.</w:t>
      </w:r>
      <w:r>
        <w:rPr>
          <w:rFonts w:hint="eastAsia" w:ascii="宋体" w:hAnsi="宋体" w:eastAsia="宋体"/>
          <w:bCs/>
          <w:color w:val="000000"/>
          <w:position w:val="-10"/>
          <w:sz w:val="24"/>
        </w:rPr>
        <w:t xml:space="preserve">乙方提供的设备及其外观、包装、运输应按国家规定或颁布标准执行，按标准保护措施进行包装。该包装应适应于远距离运输、防潮、防震、防锈和防野蛮装卸，以确保货物安全无损运抵指定地点。同时须满足产品彩页内容中所列全部规格、颜色、技术参数及功能要求和供方承诺的其它指标，并按要求提供相关证件，保证质量，否则由此引起的一切责任由乙方承担。</w:t>
      </w:r>
      <w:r/>
    </w:p>
    <w:p>
      <w:pPr>
        <w:ind w:firstLine="480"/>
        <w:spacing w:line="360" w:lineRule="auto"/>
        <w:rPr>
          <w:rFonts w:hint="eastAsia" w:ascii="宋体" w:hAnsi="宋体" w:eastAsia="宋体"/>
          <w:bCs/>
          <w:color w:val="000000"/>
          <w:position w:val="-10"/>
          <w:sz w:val="24"/>
        </w:rPr>
      </w:pPr>
      <w:r>
        <w:rPr>
          <w:rFonts w:hint="eastAsia" w:ascii="宋体" w:hAnsi="宋体" w:eastAsia="宋体"/>
          <w:bCs/>
          <w:position w:val="-10"/>
          <w:sz w:val="24"/>
        </w:rPr>
        <w:t xml:space="preserve">2.</w:t>
      </w:r>
      <w:r>
        <w:rPr>
          <w:rFonts w:hint="eastAsia" w:ascii="宋体" w:hAnsi="宋体" w:eastAsia="宋体"/>
          <w:bCs/>
          <w:color w:val="000000"/>
          <w:position w:val="-10"/>
          <w:sz w:val="24"/>
        </w:rPr>
        <w:t xml:space="preserve">乙方交付的货物应当完全符合本合同或者招投标文件所规定的货物、数量和规格要求，按照本合同或合同后附招标文件约定的时间、地点交货。乙方不得少交或多交货物。乙方提供的货物不符合</w:t>
      </w:r>
      <w:r>
        <w:rPr>
          <w:rFonts w:hint="eastAsia" w:ascii="宋体" w:hAnsi="宋体" w:eastAsia="宋体"/>
          <w:bCs/>
          <w:color w:val="000000"/>
          <w:position w:val="-10"/>
          <w:sz w:val="24"/>
        </w:rPr>
        <w:t xml:space="preserve">后附招投标</w:t>
      </w:r>
      <w:r>
        <w:rPr>
          <w:rFonts w:hint="eastAsia" w:ascii="宋体" w:hAnsi="宋体" w:eastAsia="宋体"/>
          <w:bCs/>
          <w:color w:val="000000"/>
          <w:position w:val="-10"/>
          <w:sz w:val="24"/>
        </w:rPr>
        <w:t xml:space="preserve">文件或本合同规定的，甲方有权拒收货物，由此引起的风险，由乙方承担。</w:t>
      </w:r>
      <w:r/>
    </w:p>
    <w:p>
      <w:pPr>
        <w:ind w:firstLine="480"/>
        <w:spacing w:line="360" w:lineRule="auto"/>
        <w:rPr>
          <w:rFonts w:hint="eastAsia" w:ascii="宋体" w:hAnsi="宋体" w:eastAsia="宋体"/>
          <w:bCs/>
          <w:color w:val="000000"/>
          <w:position w:val="-10"/>
          <w:sz w:val="24"/>
        </w:rPr>
      </w:pPr>
      <w:r>
        <w:rPr>
          <w:rFonts w:hint="eastAsia" w:ascii="宋体" w:hAnsi="宋体" w:eastAsia="宋体"/>
          <w:bCs/>
          <w:color w:val="000000"/>
          <w:position w:val="-10"/>
          <w:sz w:val="24"/>
        </w:rPr>
        <w:t xml:space="preserve">3.货物的到货验收包括：品牌、型号、规格、数量、外观质量及货物包装是否完好。货物和系统调试验收的标准：按行业通行标准、厂方出厂标准和乙方投标文件的承诺。</w:t>
      </w:r>
      <w:r/>
    </w:p>
    <w:p>
      <w:pPr>
        <w:ind w:firstLine="480"/>
        <w:spacing w:line="360" w:lineRule="auto"/>
        <w:rPr>
          <w:rFonts w:hint="eastAsia" w:ascii="宋体" w:hAnsi="宋体" w:eastAsia="宋体"/>
          <w:bCs/>
          <w:color w:val="000000"/>
          <w:position w:val="-10"/>
          <w:sz w:val="24"/>
        </w:rPr>
      </w:pPr>
      <w:r>
        <w:rPr>
          <w:rFonts w:hint="eastAsia" w:ascii="宋体" w:hAnsi="宋体" w:eastAsia="宋体"/>
          <w:bCs/>
          <w:color w:val="000000"/>
          <w:position w:val="-10"/>
          <w:sz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spacing w:line="360" w:lineRule="auto"/>
        <w:rPr>
          <w:rFonts w:hint="eastAsia" w:ascii="宋体" w:hAnsi="宋体" w:eastAsia="宋体"/>
          <w:bCs/>
          <w:color w:val="000000"/>
          <w:position w:val="-10"/>
          <w:sz w:val="24"/>
        </w:rPr>
      </w:pPr>
      <w:r>
        <w:rPr>
          <w:rFonts w:hint="eastAsia" w:ascii="宋体" w:hAnsi="宋体" w:eastAsia="宋体"/>
          <w:bCs/>
          <w:position w:val="-10"/>
          <w:sz w:val="24"/>
        </w:rPr>
        <w:t xml:space="preserve">5.设备安装、调试合格后交甲方验收，之前所有事宜由乙方承担</w:t>
      </w:r>
      <w:r>
        <w:rPr>
          <w:rFonts w:hint="eastAsia" w:ascii="宋体" w:hAnsi="宋体" w:eastAsia="宋体"/>
          <w:bCs/>
          <w:color w:val="0b5fd1"/>
          <w:position w:val="-10"/>
          <w:sz w:val="24"/>
        </w:rPr>
        <w:t xml:space="preserve">。</w:t>
      </w:r>
      <w:r>
        <w:rPr>
          <w:rFonts w:hint="eastAsia" w:ascii="宋体" w:hAnsi="宋体" w:eastAsia="宋体"/>
          <w:bCs/>
          <w:position w:val="-10"/>
          <w:sz w:val="24"/>
        </w:rPr>
        <w:t xml:space="preserve">设备安装时，乙方必须事先与甲方设备科联</w:t>
      </w:r>
      <w:r>
        <w:rPr>
          <w:rFonts w:hint="eastAsia" w:ascii="宋体" w:hAnsi="宋体" w:eastAsia="宋体"/>
          <w:bCs/>
          <w:color w:val="000000"/>
          <w:position w:val="-10"/>
          <w:sz w:val="24"/>
        </w:rPr>
        <w:t xml:space="preserve">系，设备到达甲方医院时，乙方代表必须同时到达，由乙方负责卸货并搬运至甲方指定的地点，双方</w:t>
      </w:r>
      <w:r>
        <w:rPr>
          <w:rFonts w:hint="eastAsia" w:ascii="宋体" w:hAnsi="宋体" w:eastAsia="宋体"/>
          <w:bCs/>
          <w:color w:val="000000"/>
          <w:position w:val="-10"/>
          <w:sz w:val="24"/>
        </w:rPr>
        <w:t xml:space="preserve">需一起</w:t>
      </w:r>
      <w:r>
        <w:rPr>
          <w:rFonts w:hint="eastAsia" w:ascii="宋体" w:hAnsi="宋体" w:eastAsia="宋体"/>
          <w:bCs/>
          <w:color w:val="000000"/>
          <w:position w:val="-10"/>
          <w:sz w:val="24"/>
        </w:rPr>
        <w:t xml:space="preserve">现场开箱验货，按招标技术参数要求和投标文件及其承诺内容，安装合格后，填写设备安装验收表，双方签字确认，使用科室办理入库手续，如发现货物短缺、质次、损坏和规格不符等问题，应作详细记录，由乙方立即无条件调换或补齐，否则引起的一切后果由乙方承担。</w:t>
      </w:r>
      <w:r/>
    </w:p>
    <w:p>
      <w:pPr>
        <w:ind w:firstLine="480"/>
        <w:spacing w:line="360" w:lineRule="auto"/>
        <w:rPr>
          <w:rFonts w:hint="eastAsia" w:ascii="宋体" w:hAnsi="宋体" w:eastAsia="宋体"/>
          <w:bCs/>
          <w:color w:val="000000"/>
          <w:position w:val="-10"/>
          <w:sz w:val="24"/>
        </w:rPr>
      </w:pPr>
      <w:r>
        <w:rPr>
          <w:rFonts w:hint="eastAsia" w:ascii="宋体" w:hAnsi="宋体" w:eastAsia="宋体"/>
          <w:bCs/>
          <w:position w:val="-10"/>
          <w:sz w:val="24"/>
        </w:rPr>
        <w:t xml:space="preserve">6.乙方提供的设备必须能免费与我院现有的信息系统连接</w:t>
      </w:r>
      <w:r>
        <w:rPr>
          <w:rFonts w:hint="eastAsia" w:ascii="宋体" w:hAnsi="宋体" w:eastAsia="宋体"/>
          <w:bCs/>
          <w:color w:val="000000"/>
          <w:position w:val="-10"/>
          <w:sz w:val="24"/>
        </w:rPr>
        <w:t xml:space="preserve">，若该设备涉及网络问题，甲方只负责提供一个网络接口，设备内部的局域网建设由乙方负责提供。</w:t>
      </w:r>
      <w:r>
        <w:rPr>
          <w:rFonts w:hint="eastAsia" w:ascii="宋体" w:hAnsi="宋体" w:eastAsia="宋体"/>
          <w:bCs/>
          <w:position w:val="-10"/>
          <w:sz w:val="24"/>
        </w:rPr>
        <w:t xml:space="preserve">如设备设有维修软件密码，乙方应保证无条件地为甲方永久免费打开。</w:t>
      </w:r>
      <w:r>
        <w:rPr>
          <w:rFonts w:hint="eastAsia" w:ascii="宋体" w:hAnsi="宋体" w:eastAsia="宋体"/>
          <w:bCs/>
          <w:color w:val="000000"/>
          <w:position w:val="-10"/>
          <w:sz w:val="24"/>
        </w:rPr>
        <w:t xml:space="preserve">如设备软件升级，乙方负责免费软件升级，保证软件为在国内已取得注册证认证的最新、最高版本。</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7.设备安装、调试结束后，甲方对设备试用后进行验收（时间由甲、乙双方商</w:t>
      </w:r>
      <w:r>
        <w:rPr>
          <w:rFonts w:hint="eastAsia" w:ascii="宋体" w:hAnsi="宋体" w:eastAsia="宋体"/>
          <w:bCs/>
          <w:position w:val="-10"/>
          <w:sz w:val="24"/>
        </w:rPr>
        <w:t xml:space="preserve">定），乙方免费派工程师到达现场协助验收工作。</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8.工程类项目乙方必须定期向甲方汇报工程进度，涉及隐蔽工程，再对将被下一工序所封闭前，乙方须通知甲方现场进行查勘确认。</w:t>
      </w:r>
      <w:r/>
    </w:p>
    <w:p>
      <w:pPr>
        <w:ind w:firstLine="480"/>
        <w:spacing w:line="360" w:lineRule="auto"/>
        <w:rPr>
          <w:rFonts w:hint="eastAsia" w:ascii="宋体" w:hAnsi="宋体" w:eastAsia="宋体"/>
          <w:bCs/>
          <w:color w:val="000000"/>
          <w:position w:val="-10"/>
          <w:sz w:val="24"/>
        </w:rPr>
      </w:pPr>
      <w:r>
        <w:rPr>
          <w:rFonts w:hint="eastAsia" w:ascii="宋体" w:hAnsi="宋体" w:eastAsia="宋体"/>
          <w:bCs/>
          <w:color w:val="000000"/>
          <w:position w:val="-10"/>
          <w:sz w:val="24"/>
        </w:rPr>
        <w:t xml:space="preserve">9.如有设备具有远程维修诊断功能，乙方需在签订合同前告知甲方，并按甲方要求签订保密协议及承诺书后，乙方按照甲方要求负责免费为甲方安装，并在保证数据安全的前提下进行远程操作。</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九、售后服务要求：</w:t>
      </w:r>
      <w:r/>
    </w:p>
    <w:p>
      <w:pPr>
        <w:ind w:firstLine="480"/>
        <w:spacing w:line="360" w:lineRule="auto"/>
        <w:rPr>
          <w:rFonts w:hint="eastAsia" w:ascii="宋体" w:hAnsi="宋体" w:eastAsia="宋体"/>
          <w:bCs/>
          <w:color w:val="000000"/>
          <w:position w:val="-10"/>
          <w:sz w:val="24"/>
        </w:rPr>
      </w:pPr>
      <w:r>
        <w:rPr>
          <w:rFonts w:hint="eastAsia" w:ascii="宋体" w:hAnsi="宋体" w:eastAsia="宋体"/>
          <w:bCs/>
          <w:position w:val="-10"/>
          <w:sz w:val="24"/>
        </w:rPr>
        <w:t xml:space="preserve">1．确保设备保修期内开机率为98%，如设备故障停机率超过2%（一年按365天计算，每年7天），每超过一天，保修期延长两周，</w:t>
      </w:r>
      <w:r>
        <w:rPr>
          <w:rFonts w:hint="eastAsia" w:ascii="宋体" w:hAnsi="宋体" w:eastAsia="宋体"/>
          <w:bCs/>
          <w:color w:val="000000"/>
          <w:position w:val="-10"/>
          <w:sz w:val="24"/>
        </w:rPr>
        <w:t xml:space="preserve">或扣除相应设备尾款。</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2．如设备发生故障，乙方在接到甲方报修电话后2小时内予以响应，24小时到达现场维修，现场不能解决的提供同样型号的备用机，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3．保修期内乙方保证按照使用说明书要求提供上门保养服务，若使用说明书无特殊要求则提供每年2次的上门保养服务，并提供保养记录单，保修期外只收配件费，免收人工费。无论在保修期内还是保修期外，乙方必须上门维修，即由乙方派员到使用现场维修。乙方工程师来我院维修设备，必须事先与我院设备科取得联系，并做相应登记；在维修过程中需由甲方派员在场或甲方工程师共同完成维修工作，否则由此引起的一切责任由乙方负责。</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4．乙方提供免费系统软件升级和全套技术资料（包括详细电路图、操作说明书、维修手册、操作流程卡及光盘），如技术资料不全，甲方有权不支付货款。</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5.如乙方提供的设备设有维修软件密码，乙方保证无条件地为甲方免费打开，直至</w:t>
      </w:r>
      <w:r>
        <w:rPr>
          <w:rFonts w:hint="eastAsia" w:ascii="宋体" w:hAnsi="宋体" w:eastAsia="宋体"/>
          <w:bCs/>
          <w:position w:val="-10"/>
          <w:sz w:val="24"/>
        </w:rPr>
        <w:t xml:space="preserve">最</w:t>
      </w:r>
      <w:r>
        <w:rPr>
          <w:rFonts w:hint="eastAsia" w:ascii="宋体" w:hAnsi="宋体" w:eastAsia="宋体"/>
          <w:bCs/>
          <w:position w:val="-10"/>
          <w:sz w:val="24"/>
        </w:rPr>
        <w:t xml:space="preserve">底层维修模式。</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十、技术培训：</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在安装过程中或安装结束后，乙方工程师或有关人员有义务对甲方工程师和操作人员进行现场维修、保养、操作培训，解答甲方人员提出的问题。</w:t>
      </w:r>
      <w:r/>
    </w:p>
    <w:p>
      <w:pPr>
        <w:numPr>
          <w:ilvl w:val="0"/>
          <w:numId w:val="9"/>
        </w:numPr>
        <w:spacing w:line="360" w:lineRule="auto"/>
        <w:rPr>
          <w:rFonts w:hint="eastAsia" w:ascii="宋体" w:hAnsi="宋体" w:eastAsia="宋体"/>
          <w:bCs/>
          <w:position w:val="-10"/>
          <w:sz w:val="24"/>
        </w:rPr>
      </w:pPr>
      <w:r>
        <w:rPr>
          <w:rFonts w:hint="eastAsia" w:ascii="宋体" w:hAnsi="宋体" w:eastAsia="宋体"/>
          <w:bCs/>
          <w:position w:val="-10"/>
          <w:sz w:val="24"/>
        </w:rPr>
        <w:t xml:space="preserve">知识产权：</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   乙方应保证甲方在使用、接受本合同货物和服务或其任何一部分时不受第三方提出侵犯其专利权等知识产权的起诉。一旦出现侵权，由乙方负全部责任。</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十二、信息保密：</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甲乙双方对本合同及本合同相关的其它信息均负有保密义务。未经另一方事先书面同意，任何一方不得将该信息的任何部分向任何第三方或社会公众披露。本条款不受本合同有效期的限制。</w:t>
      </w:r>
      <w:r/>
    </w:p>
    <w:p>
      <w:pPr>
        <w:numPr>
          <w:ilvl w:val="0"/>
          <w:numId w:val="9"/>
        </w:numPr>
        <w:spacing w:line="360" w:lineRule="auto"/>
        <w:rPr>
          <w:rFonts w:hint="eastAsia" w:ascii="宋体" w:hAnsi="宋体" w:eastAsia="宋体"/>
          <w:bCs/>
          <w:position w:val="-10"/>
          <w:sz w:val="24"/>
        </w:rPr>
      </w:pPr>
      <w:r>
        <w:rPr>
          <w:rFonts w:hint="eastAsia" w:ascii="宋体" w:hAnsi="宋体" w:eastAsia="宋体"/>
          <w:bCs/>
          <w:position w:val="-10"/>
          <w:sz w:val="24"/>
        </w:rPr>
        <w:t xml:space="preserve">违约责任</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1.甲方无正当理由拒收货物、拒付货物款的，由甲方向乙方偿付合同总价的20%违约金。</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2.如乙方不能交付货物，视为根本违约，甲方有权解除合同，解除合同的通知自到达乙方时生效。乙方应向甲方支付合同总价20%的违约金。</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3.乙方所交付的货物品种、型号、规格、数量不符合合同规定的，甲方有权拒收。甲方拒收的，视为乙方未完成交货义务，且应向甲方支付货款总额20%的违约金。</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4. 如乙方逾期交货，则每日按货款总额0.1%扣除违约金，但该违约金总额不超过合同总金额的30%，违约金可以在每次应付款中直接扣除；如乙方逾期交货达两个月则视为乙方不能交付货物。</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5.在乙方承诺的或国家规定的质量保证期内（取两者中最长的期限），如经乙方两次维修或更换，货物仍不能达到合同约定的质量标准，甲方有权退货，乙方应退回全部货款，同时，乙方应向甲方支付合同总价20%的违约金，并还须赔偿甲方因此遭受的损失。</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6.乙方未按本合同的规定提供伴随服务/售后服务的，应按合同总价款的10%向甲方承担违约责任。</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7.因乙方的违约行为给甲方造成损失的（包括所有直接和间接损失），如果违约金不足以补偿该损失部分的，甲方有权继续要求乙方赔偿甲方所有实际损失，并保留追偿的权利。</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8.乙方对本合同所约定的设备价格负责，如果产生与设备价值、成本相关的任何法律纠纷由乙方承担，甲方不承担任何相关法律责任。</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十四、争议解决</w:t>
      </w:r>
      <w:r/>
    </w:p>
    <w:p>
      <w:pPr>
        <w:ind w:firstLine="480"/>
        <w:spacing w:line="360" w:lineRule="auto"/>
        <w:rPr>
          <w:rFonts w:hint="eastAsia" w:ascii="宋体" w:hAnsi="宋体" w:eastAsia="宋体" w:cs="宋体"/>
          <w:bCs/>
          <w:position w:val="-10"/>
          <w:sz w:val="24"/>
        </w:rPr>
      </w:pPr>
      <w:r>
        <w:rPr>
          <w:rFonts w:hint="eastAsia" w:ascii="宋体" w:hAnsi="宋体" w:eastAsia="宋体" w:cs="宋体"/>
          <w:bCs/>
          <w:position w:val="-10"/>
          <w:sz w:val="24"/>
          <w:szCs w:val="24"/>
        </w:rPr>
        <w:t xml:space="preserve">1.因货物的质量问题发生争议的，甲方可以邀请国家认可的质量检测机构对货物质量进行鉴定。货物符合标准的，鉴定费由甲方承担；货物不符合质量标准的，鉴定费由乙方承担。</w:t>
      </w:r>
      <w:r/>
    </w:p>
    <w:p>
      <w:pPr>
        <w:ind w:firstLine="480"/>
        <w:spacing w:line="360" w:lineRule="auto"/>
        <w:rPr>
          <w:rFonts w:hint="eastAsia" w:ascii="宋体" w:hAnsi="宋体" w:eastAsia="宋体"/>
          <w:bCs/>
          <w:position w:val="-10"/>
          <w:sz w:val="24"/>
        </w:rPr>
      </w:pPr>
      <w:r>
        <w:rPr>
          <w:rFonts w:hint="eastAsia" w:ascii="宋体" w:hAnsi="宋体" w:eastAsia="宋体" w:cs="宋体"/>
          <w:bCs/>
          <w:position w:val="-10"/>
          <w:sz w:val="24"/>
          <w:szCs w:val="24"/>
        </w:rPr>
        <w:t xml:space="preserve">2.</w:t>
      </w:r>
      <w:r>
        <w:rPr>
          <w:rFonts w:hint="eastAsia" w:ascii="宋体" w:hAnsi="宋体" w:eastAsia="宋体"/>
          <w:bCs/>
          <w:position w:val="-10"/>
          <w:sz w:val="24"/>
        </w:rPr>
        <w:t xml:space="preserve">本合同如产生争议，甲、乙双方协商解决，协商不成将争议提交甲方所在地法院裁判。</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十五、</w:t>
      </w:r>
      <w:r>
        <w:rPr>
          <w:rFonts w:ascii="宋体" w:hAnsi="宋体" w:eastAsia="宋体"/>
          <w:bCs/>
          <w:position w:val="-10"/>
          <w:sz w:val="24"/>
        </w:rPr>
        <w:t xml:space="preserve">合同解除与终止</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1.</w:t>
      </w:r>
      <w:r>
        <w:rPr>
          <w:rFonts w:ascii="宋体" w:hAnsi="宋体" w:eastAsia="宋体"/>
          <w:bCs/>
          <w:position w:val="-10"/>
          <w:sz w:val="24"/>
        </w:rPr>
        <w:t xml:space="preserve">本合同签订后，任何一方无正当理由均不得单方解除合同，否则应按照本合同总价款的</w:t>
      </w:r>
      <w:r>
        <w:rPr>
          <w:rFonts w:hint="eastAsia" w:ascii="宋体" w:hAnsi="宋体" w:eastAsia="宋体"/>
          <w:bCs/>
          <w:position w:val="-10"/>
          <w:sz w:val="24"/>
        </w:rPr>
        <w:t xml:space="preserve">2</w:t>
      </w:r>
      <w:r>
        <w:rPr>
          <w:rFonts w:ascii="宋体" w:hAnsi="宋体" w:eastAsia="宋体"/>
          <w:bCs/>
          <w:position w:val="-10"/>
          <w:sz w:val="24"/>
        </w:rPr>
        <w:t xml:space="preserve">0%承担违约责任。</w:t>
      </w:r>
      <w:r/>
    </w:p>
    <w:p>
      <w:pPr>
        <w:ind w:firstLine="480"/>
        <w:spacing w:line="360" w:lineRule="auto"/>
        <w:rPr>
          <w:rFonts w:hint="eastAsia" w:ascii="宋体" w:hAnsi="宋体" w:eastAsia="宋体"/>
          <w:bCs/>
          <w:position w:val="-10"/>
          <w:sz w:val="24"/>
        </w:rPr>
      </w:pPr>
      <w:r>
        <w:rPr>
          <w:rFonts w:ascii="宋体" w:hAnsi="宋体" w:eastAsia="宋体"/>
          <w:bCs/>
          <w:position w:val="-10"/>
          <w:sz w:val="24"/>
        </w:rPr>
        <w:t xml:space="preserve">2</w:t>
      </w:r>
      <w:r>
        <w:rPr>
          <w:rFonts w:hint="eastAsia" w:ascii="宋体" w:hAnsi="宋体" w:eastAsia="宋体"/>
          <w:bCs/>
          <w:position w:val="-10"/>
          <w:sz w:val="24"/>
        </w:rPr>
        <w:t xml:space="preserve">.</w:t>
      </w:r>
      <w:r>
        <w:rPr>
          <w:rFonts w:ascii="宋体" w:hAnsi="宋体" w:eastAsia="宋体"/>
          <w:bCs/>
          <w:position w:val="-10"/>
          <w:sz w:val="24"/>
        </w:rPr>
        <w:t xml:space="preserve">一方违约，经他方催告并在合理期限内仍未履行或整改到位的，守约方有权单方解除合同，并要求违约方按照本合同总价款的</w:t>
      </w:r>
      <w:r>
        <w:rPr>
          <w:rFonts w:hint="eastAsia" w:ascii="宋体" w:hAnsi="宋体" w:eastAsia="宋体"/>
          <w:bCs/>
          <w:position w:val="-10"/>
          <w:sz w:val="24"/>
        </w:rPr>
        <w:t xml:space="preserve">20</w:t>
      </w:r>
      <w:r>
        <w:rPr>
          <w:rFonts w:ascii="宋体" w:hAnsi="宋体" w:eastAsia="宋体"/>
          <w:bCs/>
          <w:position w:val="-10"/>
          <w:sz w:val="24"/>
        </w:rPr>
        <w:t xml:space="preserve">%承担违约责任。合同解除文件自实际送达之日起生效，如发生拒收，则自合同解除文件向本合同中记载的甲乙双方联系地址发出之日起生效。</w:t>
      </w:r>
      <w:r/>
    </w:p>
    <w:p>
      <w:pPr>
        <w:ind w:firstLine="480"/>
        <w:spacing w:line="360" w:lineRule="auto"/>
        <w:rPr>
          <w:rFonts w:hint="eastAsia" w:ascii="宋体" w:hAnsi="宋体" w:eastAsia="宋体"/>
          <w:bCs/>
          <w:position w:val="-10"/>
          <w:sz w:val="24"/>
        </w:rPr>
      </w:pPr>
      <w:r>
        <w:rPr>
          <w:rFonts w:ascii="宋体" w:hAnsi="宋体" w:eastAsia="宋体"/>
          <w:bCs/>
          <w:position w:val="-10"/>
          <w:sz w:val="24"/>
        </w:rPr>
        <w:t xml:space="preserve">3</w:t>
      </w:r>
      <w:r>
        <w:rPr>
          <w:rFonts w:hint="eastAsia" w:ascii="宋体" w:hAnsi="宋体" w:eastAsia="宋体"/>
          <w:bCs/>
          <w:position w:val="-10"/>
          <w:sz w:val="24"/>
        </w:rPr>
        <w:t xml:space="preserve">.</w:t>
      </w:r>
      <w:r>
        <w:rPr>
          <w:rFonts w:ascii="宋体" w:hAnsi="宋体" w:eastAsia="宋体"/>
          <w:bCs/>
          <w:position w:val="-10"/>
          <w:sz w:val="24"/>
        </w:rPr>
        <w:t xml:space="preserve">任何一方由于不能预料、无法控制且不能避免和克服的</w:t>
      </w:r>
      <w:r>
        <w:rPr>
          <w:rFonts w:hint="eastAsia" w:ascii="宋体" w:hAnsi="宋体" w:eastAsia="宋体"/>
          <w:bCs/>
          <w:position w:val="-10"/>
          <w:sz w:val="24"/>
        </w:rPr>
        <w:t xml:space="preserve">不可抗力</w:t>
      </w:r>
      <w:r>
        <w:rPr>
          <w:rFonts w:ascii="宋体" w:hAnsi="宋体" w:eastAsia="宋体"/>
          <w:bCs/>
          <w:position w:val="-10"/>
          <w:sz w:val="24"/>
        </w:rPr>
        <w:t xml:space="preserve">事件而导致不能或暂时不能履行全部或部分合同义务的，</w:t>
      </w:r>
      <w:r>
        <w:rPr>
          <w:rFonts w:hint="eastAsia" w:ascii="宋体" w:hAnsi="宋体" w:eastAsia="宋体"/>
          <w:bCs/>
          <w:position w:val="-10"/>
          <w:sz w:val="24"/>
        </w:rPr>
        <w:t xml:space="preserve">可</w:t>
      </w:r>
      <w:r>
        <w:rPr>
          <w:rFonts w:ascii="宋体" w:hAnsi="宋体" w:eastAsia="宋体"/>
          <w:bCs/>
          <w:position w:val="-10"/>
          <w:sz w:val="24"/>
        </w:rPr>
        <w:t xml:space="preserve">不负责任。但受不可抗力影响的一方，应尽快地将所发生的事件通知对方，并应在事件发生后15天内将有关机构出具的不可抗力事件的证明寄交对方。</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十六、合同签署地点：</w:t>
      </w:r>
      <w:r>
        <w:rPr>
          <w:rFonts w:hint="eastAsia" w:ascii="宋体" w:hAnsi="宋体" w:eastAsia="宋体"/>
          <w:bCs/>
          <w:position w:val="-10"/>
          <w:sz w:val="24"/>
        </w:rPr>
        <w:t xml:space="preserve">泰州市姜堰区</w:t>
      </w:r>
      <w:r>
        <w:rPr>
          <w:rFonts w:hint="eastAsia" w:ascii="宋体" w:hAnsi="宋体" w:eastAsia="宋体"/>
          <w:bCs/>
          <w:position w:val="-10"/>
          <w:sz w:val="24"/>
        </w:rPr>
        <w:t xml:space="preserve">大伦镇卫生院</w:t>
      </w:r>
      <w:r>
        <w:rPr>
          <w:rFonts w:hint="eastAsia" w:ascii="宋体" w:hAnsi="宋体" w:eastAsia="宋体"/>
          <w:bCs/>
          <w:position w:val="-10"/>
          <w:sz w:val="24"/>
        </w:rPr>
        <w:t xml:space="preserve">。</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十七、该设备招标文件、商务谈判文件、承诺书、合同附件、购销廉洁要求、诚信承诺书作为本合同不可分割的部分，与本合同具有同等的法律效力。本合同一式三份，甲方两份，乙方一份，自签订之日起生效。</w:t>
      </w:r>
      <w:r/>
    </w:p>
    <w:p>
      <w:pPr>
        <w:spacing w:line="360" w:lineRule="auto"/>
        <w:rPr>
          <w:rFonts w:hint="eastAsia" w:ascii="宋体" w:hAnsi="宋体" w:eastAsia="宋体"/>
          <w:bCs/>
          <w:position w:val="-10"/>
          <w:sz w:val="24"/>
          <w:u w:val="single"/>
        </w:rPr>
      </w:pPr>
      <w:r>
        <w:rPr>
          <w:rFonts w:hint="eastAsia" w:ascii="宋体" w:hAnsi="宋体" w:eastAsia="宋体"/>
          <w:bCs/>
          <w:position w:val="-10"/>
          <w:sz w:val="24"/>
        </w:rPr>
        <w:t xml:space="preserve">十八、其它事项：</w:t>
      </w:r>
      <w:r>
        <w:rPr>
          <w:rFonts w:hint="eastAsia" w:ascii="宋体" w:hAnsi="宋体" w:eastAsia="宋体"/>
          <w:bCs/>
          <w:position w:val="-10"/>
          <w:sz w:val="24"/>
          <w:u w:val="single"/>
        </w:rPr>
        <w:t xml:space="preserve">　　　　　　　　　　　　　                        </w:t>
      </w:r>
      <w:r>
        <w:rPr>
          <w:rFonts w:hint="eastAsia" w:ascii="宋体" w:hAnsi="宋体" w:eastAsia="宋体"/>
          <w:bCs/>
          <w:position w:val="-10"/>
          <w:sz w:val="24"/>
        </w:rPr>
        <w:t xml:space="preserve">。</w:t>
      </w:r>
      <w:r/>
    </w:p>
    <w:p>
      <w:pPr>
        <w:spacing w:line="360" w:lineRule="auto"/>
        <w:rPr>
          <w:rFonts w:hint="eastAsia" w:ascii="宋体" w:hAnsi="宋体" w:eastAsia="宋体"/>
          <w:bCs/>
          <w:position w:val="-10"/>
          <w:sz w:val="24"/>
          <w:u w:val="single"/>
        </w:rPr>
      </w:pPr>
      <w:r>
        <w:rPr>
          <w:rFonts w:hint="eastAsia" w:ascii="宋体" w:hAnsi="宋体" w:eastAsia="宋体"/>
          <w:bCs/>
          <w:position w:val="-10"/>
          <w:sz w:val="24"/>
        </w:rPr>
        <w:t xml:space="preserve">甲方：</w:t>
      </w:r>
      <w:r>
        <w:rPr>
          <w:rFonts w:hint="eastAsia" w:ascii="宋体" w:hAnsi="宋体" w:eastAsia="宋体"/>
          <w:bCs/>
          <w:position w:val="-10"/>
          <w:sz w:val="24"/>
        </w:rPr>
        <w:t xml:space="preserve">泰州市姜堰区</w:t>
      </w:r>
      <w:r>
        <w:rPr>
          <w:rFonts w:hint="eastAsia" w:ascii="宋体" w:hAnsi="宋体" w:eastAsia="宋体"/>
          <w:bCs/>
          <w:position w:val="-10"/>
          <w:sz w:val="24"/>
        </w:rPr>
        <w:t xml:space="preserve">大伦镇卫生院</w:t>
      </w:r>
      <w:r>
        <w:rPr>
          <w:rFonts w:hint="eastAsia" w:ascii="宋体" w:hAnsi="宋体" w:eastAsia="宋体"/>
          <w:bCs/>
          <w:position w:val="-10"/>
          <w:sz w:val="24"/>
        </w:rPr>
        <w:t xml:space="preserve">            乙方：</w:t>
      </w:r>
      <w:r>
        <w:rPr>
          <w:rFonts w:hint="eastAsia" w:ascii="宋体" w:hAnsi="宋体" w:eastAsia="宋体"/>
          <w:bCs/>
          <w:position w:val="-10"/>
          <w:sz w:val="24"/>
          <w:u w:val="single"/>
        </w:rPr>
        <w:t xml:space="preserve">　　　　　　　　</w:t>
      </w:r>
      <w:r>
        <w:rPr>
          <w:rFonts w:hint="eastAsia" w:ascii="宋体" w:hAnsi="宋体" w:eastAsia="宋体"/>
          <w:bCs/>
          <w:position w:val="-10"/>
          <w:sz w:val="24"/>
        </w:rPr>
        <w:t xml:space="preserve">　</w:t>
      </w:r>
      <w:r/>
    </w:p>
    <w:p>
      <w:pPr>
        <w:spacing w:before="156" w:line="360" w:lineRule="auto"/>
        <w:rPr>
          <w:rFonts w:hint="eastAsia" w:ascii="宋体" w:hAnsi="宋体" w:eastAsia="宋体"/>
          <w:bCs/>
          <w:position w:val="-10"/>
          <w:sz w:val="24"/>
        </w:rPr>
      </w:pPr>
      <w:r>
        <w:rPr>
          <w:rFonts w:hint="eastAsia" w:ascii="宋体" w:hAnsi="宋体" w:eastAsia="宋体"/>
          <w:bCs/>
          <w:position w:val="-10"/>
          <w:sz w:val="24"/>
        </w:rPr>
        <w:t xml:space="preserve">甲方（签章）：                          乙方（签章）：</w:t>
      </w:r>
      <w:r/>
    </w:p>
    <w:p>
      <w:pPr>
        <w:spacing w:before="156" w:line="360" w:lineRule="auto"/>
        <w:rPr>
          <w:rFonts w:hint="eastAsia" w:ascii="宋体" w:hAnsi="宋体" w:eastAsia="宋体"/>
          <w:bCs/>
          <w:position w:val="-10"/>
          <w:sz w:val="24"/>
          <w:u w:val="single"/>
        </w:rPr>
      </w:pPr>
      <w:r>
        <w:rPr>
          <w:rFonts w:hint="eastAsia" w:ascii="宋体" w:hAnsi="宋体" w:eastAsia="宋体"/>
          <w:bCs/>
          <w:position w:val="-10"/>
          <w:sz w:val="24"/>
          <w:u w:val="single"/>
        </w:rPr>
      </w:r>
      <w:r/>
    </w:p>
    <w:p>
      <w:pPr>
        <w:ind w:firstLine="240"/>
        <w:spacing w:line="360" w:lineRule="auto"/>
        <w:rPr>
          <w:rFonts w:hint="eastAsia" w:ascii="宋体" w:hAnsi="宋体" w:eastAsia="宋体" w:cs="宋体"/>
          <w:bCs/>
          <w:sz w:val="21"/>
          <w:szCs w:val="24"/>
        </w:rPr>
      </w:pPr>
      <w:r>
        <w:rPr>
          <w:rFonts w:hint="eastAsia" w:ascii="宋体" w:hAnsi="宋体" w:eastAsia="宋体"/>
          <w:bCs/>
          <w:position w:val="-10"/>
          <w:sz w:val="24"/>
        </w:rPr>
        <w:t xml:space="preserve">年  月   日                             年   月    日</w:t>
      </w:r>
      <w:r/>
    </w:p>
    <w:p>
      <w:pPr>
        <w:rPr>
          <w:rFonts w:hint="eastAsia" w:ascii="宋体" w:hAnsi="宋体" w:eastAsia="宋体" w:cs="仿宋"/>
          <w:sz w:val="21"/>
          <w:szCs w:val="21"/>
        </w:rPr>
      </w:pPr>
      <w:r>
        <w:rPr>
          <w:rFonts w:hint="eastAsia" w:ascii="宋体" w:hAnsi="宋体" w:eastAsia="宋体" w:cs="仿宋"/>
          <w:sz w:val="21"/>
          <w:szCs w:val="21"/>
        </w:rPr>
      </w:r>
      <w:r/>
    </w:p>
    <w:p>
      <w:pPr>
        <w:pStyle w:val="806"/>
        <w:rPr>
          <w:rFonts w:hint="eastAsia" w:ascii="宋体" w:hAnsi="宋体" w:eastAsia="宋体" w:cs="仿宋"/>
          <w:b/>
          <w:color w:val="000000" w:themeColor="text1"/>
          <w:sz w:val="30"/>
          <w:szCs w:val="30"/>
        </w:rPr>
      </w:pPr>
      <w:r>
        <w:rPr>
          <w:rFonts w:hint="eastAsia" w:ascii="宋体" w:hAnsi="宋体" w:eastAsia="宋体" w:cs="仿宋"/>
          <w:b/>
          <w:color w:val="000000" w:themeColor="text1"/>
          <w:sz w:val="30"/>
          <w:szCs w:val="30"/>
        </w:rPr>
      </w:r>
      <w:r/>
    </w:p>
    <w:p>
      <w:pPr>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pStyle w:val="806"/>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br w:type="page" w:clear="all"/>
      </w:r>
      <w:r/>
    </w:p>
    <w:p>
      <w:pPr>
        <w:jc w:val="center"/>
        <w:keepNext/>
        <w:rPr>
          <w:rFonts w:eastAsia="黑体"/>
          <w:bCs/>
          <w:sz w:val="44"/>
          <w:szCs w:val="28"/>
        </w:rPr>
        <w:outlineLvl w:val="0"/>
      </w:pPr>
      <w:r>
        <w:rPr>
          <w:rFonts w:hint="eastAsia" w:eastAsia="黑体"/>
          <w:bCs/>
          <w:sz w:val="44"/>
          <w:szCs w:val="28"/>
        </w:rPr>
        <w:t xml:space="preserve">第六章</w:t>
      </w:r>
      <w:r>
        <w:rPr>
          <w:rFonts w:hint="eastAsia" w:eastAsia="黑体"/>
          <w:bCs/>
          <w:sz w:val="44"/>
          <w:szCs w:val="28"/>
        </w:rPr>
        <w:t xml:space="preserve"> </w:t>
      </w:r>
      <w:r>
        <w:rPr>
          <w:rFonts w:hint="eastAsia" w:eastAsia="黑体"/>
          <w:bCs/>
          <w:sz w:val="44"/>
          <w:szCs w:val="28"/>
        </w:rPr>
        <w:t xml:space="preserve">投标文件格式</w:t>
      </w:r>
      <w:r>
        <w:rPr>
          <w:rFonts w:hint="eastAsia" w:eastAsia="黑体"/>
          <w:bCs/>
          <w:sz w:val="44"/>
          <w:szCs w:val="28"/>
        </w:rPr>
        <w:t xml:space="preserve"> </w:t>
      </w:r>
      <w:r/>
    </w:p>
    <w:p>
      <w:pPr>
        <w:jc w:val="center"/>
        <w:rPr>
          <w:rFonts w:eastAsia="宋体"/>
          <w:b/>
          <w:sz w:val="72"/>
          <w:szCs w:val="21"/>
        </w:rPr>
      </w:pPr>
      <w:r/>
      <w:bookmarkStart w:id="48" w:name="_Hlt26671244"/>
      <w:r/>
      <w:bookmarkStart w:id="49" w:name="_Hlt26955039"/>
      <w:r/>
      <w:bookmarkStart w:id="50" w:name="_Toc120614282"/>
      <w:r/>
      <w:bookmarkStart w:id="51" w:name="_Toc49090576"/>
      <w:r/>
      <w:bookmarkStart w:id="52" w:name="_Toc26554094"/>
      <w:r/>
      <w:bookmarkEnd w:id="48"/>
      <w:r/>
      <w:bookmarkEnd w:id="49"/>
      <w:r/>
      <w:r/>
    </w:p>
    <w:p>
      <w:pPr>
        <w:jc w:val="center"/>
        <w:rPr>
          <w:rFonts w:eastAsia="宋体"/>
          <w:b/>
          <w:sz w:val="72"/>
          <w:szCs w:val="21"/>
        </w:rPr>
      </w:pPr>
      <w:r>
        <w:rPr>
          <w:rFonts w:hint="eastAsia" w:eastAsia="宋体"/>
          <w:b/>
          <w:sz w:val="72"/>
          <w:szCs w:val="21"/>
        </w:rPr>
        <w:t xml:space="preserve">投</w:t>
      </w:r>
      <w:r>
        <w:rPr>
          <w:rFonts w:hint="eastAsia" w:eastAsia="宋体"/>
          <w:b/>
          <w:sz w:val="72"/>
          <w:szCs w:val="21"/>
        </w:rPr>
        <w:t xml:space="preserve">  </w:t>
      </w:r>
      <w:r>
        <w:rPr>
          <w:rFonts w:hint="eastAsia" w:eastAsia="宋体"/>
          <w:b/>
          <w:sz w:val="72"/>
          <w:szCs w:val="21"/>
        </w:rPr>
        <w:t xml:space="preserve">标</w:t>
      </w:r>
      <w:r>
        <w:rPr>
          <w:rFonts w:hint="eastAsia" w:eastAsia="宋体"/>
          <w:b/>
          <w:sz w:val="72"/>
          <w:szCs w:val="21"/>
        </w:rPr>
        <w:t xml:space="preserve">  </w:t>
      </w:r>
      <w:r>
        <w:rPr>
          <w:rFonts w:hint="eastAsia" w:eastAsia="宋体"/>
          <w:b/>
          <w:sz w:val="72"/>
          <w:szCs w:val="21"/>
        </w:rPr>
        <w:t xml:space="preserve">文</w:t>
      </w:r>
      <w:r>
        <w:rPr>
          <w:rFonts w:hint="eastAsia" w:eastAsia="宋体"/>
          <w:b/>
          <w:sz w:val="72"/>
          <w:szCs w:val="21"/>
        </w:rPr>
        <w:t xml:space="preserve">  </w:t>
      </w:r>
      <w:r>
        <w:rPr>
          <w:rFonts w:hint="eastAsia" w:eastAsia="宋体"/>
          <w:b/>
          <w:sz w:val="72"/>
          <w:szCs w:val="21"/>
        </w:rPr>
        <w:t xml:space="preserve">件</w:t>
      </w:r>
      <w:r/>
    </w:p>
    <w:p>
      <w:pPr>
        <w:jc w:val="center"/>
        <w:rPr>
          <w:rFonts w:eastAsia="宋体"/>
          <w:b/>
          <w:sz w:val="72"/>
          <w:szCs w:val="21"/>
        </w:rPr>
      </w:pPr>
      <w:r>
        <w:rPr>
          <w:rFonts w:eastAsia="宋体"/>
          <w:b/>
          <w:sz w:val="72"/>
          <w:szCs w:val="21"/>
        </w:rPr>
      </w:r>
      <w:r/>
    </w:p>
    <w:p>
      <w:pPr>
        <w:jc w:val="center"/>
        <w:rPr>
          <w:rFonts w:eastAsia="宋体"/>
          <w:b/>
          <w:sz w:val="72"/>
          <w:szCs w:val="21"/>
        </w:rPr>
      </w:pPr>
      <w:r>
        <w:rPr>
          <w:rFonts w:eastAsia="宋体"/>
          <w:b/>
          <w:sz w:val="72"/>
          <w:szCs w:val="21"/>
        </w:rPr>
      </w:r>
      <w:r/>
    </w:p>
    <w:p>
      <w:pPr>
        <w:jc w:val="center"/>
        <w:rPr>
          <w:rFonts w:eastAsia="宋体"/>
          <w:b/>
          <w:sz w:val="36"/>
          <w:szCs w:val="21"/>
        </w:rPr>
      </w:pPr>
      <w:r>
        <w:rPr>
          <w:rFonts w:eastAsia="宋体"/>
          <w:b/>
          <w:sz w:val="36"/>
          <w:szCs w:val="21"/>
        </w:rPr>
      </w:r>
      <w:r/>
    </w:p>
    <w:p>
      <w:pPr>
        <w:jc w:val="center"/>
        <w:rPr>
          <w:rFonts w:eastAsia="宋体"/>
          <w:b/>
          <w:sz w:val="36"/>
          <w:szCs w:val="21"/>
        </w:rPr>
      </w:pPr>
      <w:r>
        <w:rPr>
          <w:rFonts w:eastAsia="宋体"/>
          <w:b/>
          <w:sz w:val="36"/>
          <w:szCs w:val="21"/>
        </w:rPr>
      </w:r>
      <w:r/>
    </w:p>
    <w:p>
      <w:pPr>
        <w:jc w:val="center"/>
        <w:rPr>
          <w:rFonts w:eastAsia="宋体"/>
          <w:b/>
          <w:sz w:val="36"/>
          <w:szCs w:val="21"/>
        </w:rPr>
      </w:pPr>
      <w:r>
        <w:rPr>
          <w:rFonts w:eastAsia="宋体"/>
          <w:b/>
          <w:sz w:val="36"/>
          <w:szCs w:val="21"/>
        </w:rPr>
      </w:r>
      <w:r/>
    </w:p>
    <w:p>
      <w:pPr>
        <w:ind w:firstLine="1084"/>
        <w:rPr>
          <w:rFonts w:eastAsia="宋体"/>
          <w:b/>
          <w:sz w:val="36"/>
          <w:szCs w:val="21"/>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名</w:t>
      </w:r>
      <w:r>
        <w:rPr>
          <w:rFonts w:hint="eastAsia" w:eastAsia="宋体"/>
          <w:b/>
          <w:sz w:val="36"/>
          <w:szCs w:val="21"/>
        </w:rPr>
        <w:t xml:space="preserve"> </w:t>
      </w:r>
      <w:r>
        <w:rPr>
          <w:rFonts w:hint="eastAsia" w:eastAsia="宋体"/>
          <w:b/>
          <w:sz w:val="36"/>
          <w:szCs w:val="21"/>
        </w:rPr>
        <w:t xml:space="preserve">称：</w:t>
      </w:r>
      <w:r>
        <w:rPr>
          <w:rFonts w:hint="eastAsia" w:eastAsia="宋体"/>
          <w:b/>
          <w:sz w:val="36"/>
          <w:szCs w:val="21"/>
          <w:u w:val="single"/>
        </w:rPr>
        <w:t xml:space="preserve">               </w:t>
      </w:r>
      <w:r/>
    </w:p>
    <w:p>
      <w:pPr>
        <w:ind w:firstLine="1084"/>
        <w:rPr>
          <w:rFonts w:eastAsia="宋体"/>
          <w:b/>
          <w:sz w:val="36"/>
          <w:szCs w:val="21"/>
          <w:u w:val="single"/>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编</w:t>
      </w:r>
      <w:r>
        <w:rPr>
          <w:rFonts w:hint="eastAsia" w:eastAsia="宋体"/>
          <w:b/>
          <w:sz w:val="36"/>
          <w:szCs w:val="21"/>
        </w:rPr>
        <w:t xml:space="preserve"> </w:t>
      </w:r>
      <w:r>
        <w:rPr>
          <w:rFonts w:hint="eastAsia" w:eastAsia="宋体"/>
          <w:b/>
          <w:sz w:val="36"/>
          <w:szCs w:val="21"/>
        </w:rPr>
        <w:t xml:space="preserve">号：</w:t>
      </w:r>
      <w:r>
        <w:rPr>
          <w:rFonts w:hint="eastAsia" w:eastAsia="宋体"/>
          <w:b/>
          <w:sz w:val="36"/>
          <w:szCs w:val="21"/>
          <w:u w:val="single"/>
        </w:rPr>
        <w:t xml:space="preserve">               </w:t>
      </w:r>
      <w:r/>
    </w:p>
    <w:p>
      <w:pPr>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投标人名称</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（加盖</w:t>
      </w:r>
      <w:r>
        <w:rPr>
          <w:rFonts w:hint="eastAsia" w:eastAsia="宋体"/>
          <w:b/>
          <w:sz w:val="36"/>
          <w:szCs w:val="21"/>
          <w:u w:val="single"/>
        </w:rPr>
        <w:t xml:space="preserve">CA</w:t>
      </w:r>
      <w:r>
        <w:rPr>
          <w:rFonts w:hint="eastAsia" w:eastAsia="宋体"/>
          <w:b/>
          <w:sz w:val="36"/>
          <w:szCs w:val="21"/>
          <w:u w:val="single"/>
        </w:rPr>
        <w:t xml:space="preserve">电子公章）</w:t>
      </w:r>
      <w:r/>
    </w:p>
    <w:p>
      <w:pPr>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日</w:t>
      </w:r>
      <w:r>
        <w:rPr>
          <w:rFonts w:hint="eastAsia" w:eastAsia="宋体"/>
          <w:b/>
          <w:sz w:val="36"/>
          <w:szCs w:val="21"/>
        </w:rPr>
        <w:t xml:space="preserve">      </w:t>
      </w:r>
      <w:r>
        <w:rPr>
          <w:rFonts w:hint="eastAsia" w:eastAsia="宋体"/>
          <w:b/>
          <w:sz w:val="36"/>
          <w:szCs w:val="21"/>
        </w:rPr>
        <w:t xml:space="preserve">期</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               </w:t>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bCs/>
          <w:sz w:val="32"/>
          <w:szCs w:val="32"/>
        </w:rPr>
      </w:pPr>
      <w:r>
        <w:rPr>
          <w:rFonts w:hint="eastAsia" w:eastAsia="宋体"/>
          <w:b/>
          <w:bCs/>
          <w:sz w:val="32"/>
          <w:szCs w:val="32"/>
        </w:rPr>
        <w:t xml:space="preserve">投标文件目录</w:t>
      </w:r>
      <w:r/>
    </w:p>
    <w:p>
      <w:pPr>
        <w:jc w:val="center"/>
        <w:spacing w:line="440" w:lineRule="exact"/>
        <w:rPr>
          <w:rFonts w:eastAsia="宋体"/>
          <w:b/>
          <w:bCs/>
          <w:sz w:val="32"/>
          <w:szCs w:val="32"/>
        </w:rPr>
      </w:pPr>
      <w:r>
        <w:rPr>
          <w:rFonts w:eastAsia="宋体"/>
          <w:b/>
          <w:bCs/>
          <w:sz w:val="32"/>
          <w:szCs w:val="32"/>
        </w:rPr>
      </w:r>
      <w:r/>
    </w:p>
    <w:p>
      <w:pPr>
        <w:ind w:firstLine="560"/>
        <w:spacing w:line="360" w:lineRule="auto"/>
        <w:rPr>
          <w:rFonts w:eastAsia="宋体" w:cs="宋体"/>
          <w:sz w:val="28"/>
          <w:szCs w:val="28"/>
        </w:rPr>
      </w:pPr>
      <w:r>
        <w:rPr>
          <w:rFonts w:hint="eastAsia" w:eastAsia="宋体" w:cs="宋体"/>
          <w:sz w:val="28"/>
          <w:szCs w:val="28"/>
        </w:rPr>
        <w:t xml:space="preserve">一、投标声明及承诺函</w:t>
      </w:r>
      <w:r/>
    </w:p>
    <w:p>
      <w:pPr>
        <w:ind w:firstLine="560"/>
        <w:spacing w:line="360" w:lineRule="auto"/>
        <w:rPr>
          <w:rFonts w:eastAsia="宋体" w:cs="宋体"/>
          <w:sz w:val="28"/>
          <w:szCs w:val="28"/>
        </w:rPr>
      </w:pPr>
      <w:r>
        <w:rPr>
          <w:rFonts w:hint="eastAsia" w:eastAsia="宋体" w:cs="宋体"/>
          <w:sz w:val="28"/>
          <w:szCs w:val="28"/>
        </w:rPr>
        <w:t xml:space="preserve">二、投标人基本情况</w:t>
      </w:r>
      <w:r/>
    </w:p>
    <w:p>
      <w:pPr>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p>
    <w:p>
      <w:pPr>
        <w:ind w:firstLine="560"/>
        <w:spacing w:line="360" w:lineRule="auto"/>
        <w:rPr>
          <w:rFonts w:eastAsia="宋体" w:cs="宋体"/>
          <w:sz w:val="28"/>
          <w:szCs w:val="28"/>
        </w:rPr>
      </w:pPr>
      <w:r>
        <w:rPr>
          <w:rFonts w:hint="eastAsia" w:eastAsia="宋体" w:cs="宋体"/>
          <w:sz w:val="28"/>
          <w:szCs w:val="28"/>
        </w:rPr>
        <w:t xml:space="preserve">四、法人授权书</w:t>
      </w:r>
      <w:r/>
    </w:p>
    <w:p>
      <w:pPr>
        <w:ind w:firstLine="560"/>
        <w:spacing w:line="360" w:lineRule="auto"/>
        <w:rPr>
          <w:rFonts w:eastAsia="宋体" w:cs="宋体"/>
          <w:sz w:val="28"/>
          <w:szCs w:val="28"/>
        </w:rPr>
      </w:pPr>
      <w:r>
        <w:rPr>
          <w:rFonts w:hint="eastAsia" w:eastAsia="宋体" w:cs="宋体"/>
          <w:sz w:val="28"/>
          <w:szCs w:val="28"/>
        </w:rPr>
        <w:t xml:space="preserve">五、开标一览表</w:t>
      </w:r>
      <w:r/>
    </w:p>
    <w:p>
      <w:pPr>
        <w:ind w:firstLine="560"/>
        <w:spacing w:line="360" w:lineRule="auto"/>
        <w:rPr>
          <w:rFonts w:eastAsia="宋体" w:cs="宋体"/>
          <w:sz w:val="28"/>
          <w:szCs w:val="28"/>
        </w:rPr>
      </w:pPr>
      <w:r>
        <w:rPr>
          <w:rFonts w:hint="eastAsia" w:eastAsia="宋体" w:cs="宋体"/>
          <w:sz w:val="28"/>
          <w:szCs w:val="28"/>
        </w:rPr>
        <w:t xml:space="preserve">六、投标报价明细表</w:t>
      </w:r>
      <w:r/>
    </w:p>
    <w:p>
      <w:pPr>
        <w:ind w:firstLine="560"/>
        <w:spacing w:line="360" w:lineRule="auto"/>
        <w:rPr>
          <w:rFonts w:eastAsia="宋体" w:cs="宋体"/>
          <w:sz w:val="28"/>
          <w:szCs w:val="28"/>
        </w:rPr>
      </w:pPr>
      <w:r>
        <w:rPr>
          <w:rFonts w:hint="eastAsia" w:eastAsia="宋体" w:cs="宋体"/>
          <w:sz w:val="28"/>
          <w:szCs w:val="28"/>
        </w:rPr>
        <w:t xml:space="preserve">七、中小企业声明函</w:t>
      </w:r>
      <w:r/>
    </w:p>
    <w:p>
      <w:pPr>
        <w:ind w:firstLine="560"/>
        <w:spacing w:line="360" w:lineRule="auto"/>
        <w:rPr>
          <w:rFonts w:eastAsia="宋体" w:cs="宋体"/>
          <w:sz w:val="28"/>
          <w:szCs w:val="28"/>
        </w:rPr>
      </w:pPr>
      <w:r>
        <w:rPr>
          <w:rFonts w:hint="eastAsia" w:eastAsia="宋体" w:cs="宋体"/>
          <w:sz w:val="28"/>
          <w:szCs w:val="28"/>
        </w:rPr>
        <w:t xml:space="preserve">八、技术要求响应及偏离表</w:t>
      </w:r>
      <w:r/>
    </w:p>
    <w:p>
      <w:pPr>
        <w:ind w:firstLine="560"/>
        <w:spacing w:line="360" w:lineRule="auto"/>
        <w:rPr>
          <w:rFonts w:eastAsia="宋体" w:cs="宋体"/>
          <w:sz w:val="28"/>
          <w:szCs w:val="28"/>
        </w:rPr>
      </w:pPr>
      <w:r>
        <w:rPr>
          <w:rFonts w:hint="eastAsia" w:eastAsia="宋体" w:cs="宋体"/>
          <w:sz w:val="28"/>
          <w:szCs w:val="28"/>
        </w:rPr>
        <w:t xml:space="preserve">九、项目组成员</w:t>
      </w:r>
      <w:r/>
    </w:p>
    <w:p>
      <w:pPr>
        <w:ind w:firstLine="560"/>
        <w:spacing w:line="360" w:lineRule="auto"/>
        <w:rPr>
          <w:rFonts w:eastAsia="宋体" w:cs="宋体"/>
          <w:sz w:val="28"/>
          <w:szCs w:val="28"/>
        </w:rPr>
      </w:pPr>
      <w:r>
        <w:rPr>
          <w:rFonts w:hint="eastAsia" w:eastAsia="宋体" w:cs="宋体"/>
          <w:sz w:val="28"/>
          <w:szCs w:val="28"/>
        </w:rPr>
        <w:t xml:space="preserve">十、企业业绩</w:t>
      </w:r>
      <w:r/>
    </w:p>
    <w:p>
      <w:pPr>
        <w:ind w:firstLine="560"/>
        <w:spacing w:line="360" w:lineRule="auto"/>
        <w:rPr>
          <w:rFonts w:eastAsia="宋体" w:cs="宋体"/>
          <w:sz w:val="28"/>
          <w:szCs w:val="28"/>
        </w:rPr>
      </w:pPr>
      <w:r>
        <w:rPr>
          <w:rFonts w:hint="eastAsia" w:eastAsia="宋体" w:cs="宋体"/>
          <w:sz w:val="28"/>
          <w:szCs w:val="28"/>
        </w:rPr>
        <w:t xml:space="preserve">十一、投标所需其他材料</w:t>
      </w:r>
      <w:r/>
    </w:p>
    <w:p>
      <w:pPr>
        <w:pStyle w:val="781"/>
        <w:spacing w:line="360" w:lineRule="auto"/>
        <w:rPr>
          <w:rFonts w:hint="eastAsia" w:asciiTheme="minorEastAsia" w:hAnsiTheme="minorEastAsia" w:eastAsiaTheme="minorEastAsia"/>
          <w:szCs w:val="28"/>
        </w:rPr>
      </w:pPr>
      <w:r>
        <w:rPr>
          <w:rFonts w:hint="eastAsia"/>
        </w:rPr>
        <w:t xml:space="preserve">    </w:t>
      </w:r>
      <w:r>
        <w:rPr>
          <w:rFonts w:hint="eastAsia" w:asciiTheme="minorEastAsia" w:hAnsiTheme="minorEastAsia" w:eastAsiaTheme="minorEastAsia"/>
          <w:szCs w:val="28"/>
        </w:rPr>
        <w:t xml:space="preserve">十二、资格证明文件参考格式</w:t>
      </w:r>
      <w:r/>
    </w:p>
    <w:p>
      <w:pPr>
        <w:jc w:val="left"/>
        <w:spacing w:before="120" w:after="120" w:line="400" w:lineRule="exact"/>
        <w:tabs>
          <w:tab w:val="right" w:pos="8720" w:leader="dot"/>
        </w:tabs>
        <w:rPr>
          <w:rFonts w:eastAsia="宋体"/>
          <w:sz w:val="24"/>
          <w:szCs w:val="24"/>
        </w:rPr>
      </w:pPr>
      <w:r>
        <w:rPr>
          <w:rFonts w:eastAsia="宋体"/>
          <w:sz w:val="24"/>
          <w:szCs w:val="24"/>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jc w:val="left"/>
        <w:widowControl/>
        <w:rPr>
          <w:rFonts w:eastAsiaTheme="minorEastAsia"/>
          <w:sz w:val="24"/>
          <w:szCs w:val="24"/>
        </w:rPr>
      </w:pPr>
      <w:r/>
      <w:bookmarkStart w:id="53" w:name="_Toc23838"/>
      <w:r/>
      <w:bookmarkEnd w:id="53"/>
      <w:r/>
      <w:r/>
    </w:p>
    <w:p>
      <w:pPr>
        <w:rPr>
          <w:rFonts w:hint="eastAsia" w:ascii="宋体" w:hAnsi="宋体" w:eastAsia="宋体"/>
          <w:b/>
          <w:sz w:val="32"/>
          <w:szCs w:val="32"/>
        </w:rPr>
      </w:pPr>
      <w:r>
        <w:rPr>
          <w:rFonts w:hint="eastAsia" w:ascii="宋体" w:hAnsi="宋体" w:eastAsia="宋体"/>
          <w:b/>
          <w:sz w:val="32"/>
          <w:szCs w:val="32"/>
        </w:rPr>
        <w:t xml:space="preserve">一、</w:t>
      </w:r>
      <w:bookmarkStart w:id="54" w:name="_Toc120614284"/>
      <w:r/>
      <w:bookmarkEnd w:id="50"/>
      <w:r/>
      <w:bookmarkEnd w:id="51"/>
      <w:r/>
      <w:bookmarkEnd w:id="52"/>
      <w:r>
        <w:rPr>
          <w:rFonts w:hint="eastAsia" w:ascii="宋体" w:hAnsi="宋体" w:eastAsia="宋体"/>
          <w:b/>
          <w:sz w:val="32"/>
          <w:szCs w:val="32"/>
        </w:rPr>
        <w:t xml:space="preserve">投标声明及承诺函</w:t>
      </w:r>
      <w:r/>
    </w:p>
    <w:p>
      <w:pPr>
        <w:jc w:val="left"/>
        <w:spacing w:line="500" w:lineRule="exact"/>
        <w:rPr>
          <w:rFonts w:hint="eastAsia" w:ascii="宋体" w:hAnsi="宋体" w:eastAsia="宋体"/>
          <w:sz w:val="24"/>
          <w:szCs w:val="24"/>
          <w:u w:val="single"/>
        </w:rPr>
      </w:pPr>
      <w:r>
        <w:rPr>
          <w:rFonts w:hint="eastAsia" w:ascii="宋体" w:hAnsi="宋体" w:eastAsia="宋体"/>
          <w:sz w:val="24"/>
          <w:szCs w:val="24"/>
          <w:u w:val="single"/>
        </w:rPr>
        <w:t xml:space="preserve">（采购单位名称）：</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p>
    <w:p>
      <w:pPr>
        <w:ind w:firstLine="480"/>
        <w:jc w:val="left"/>
        <w:spacing w:line="500" w:lineRule="exact"/>
        <w:rPr>
          <w:rFonts w:hint="eastAsia"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具备《中华人民共和国政府采购法》第二十二条第一款规定的6项条件；</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r>
      <w:r/>
    </w:p>
    <w:p>
      <w:pPr>
        <w:jc w:val="left"/>
        <w:spacing w:line="500" w:lineRule="exact"/>
        <w:rPr>
          <w:rFonts w:hint="eastAsia" w:ascii="宋体" w:hAnsi="宋体" w:eastAsia="宋体"/>
          <w:sz w:val="24"/>
          <w:szCs w:val="24"/>
        </w:rPr>
      </w:pPr>
      <w:r>
        <w:rPr>
          <w:rFonts w:hint="eastAsia" w:ascii="宋体" w:hAnsi="宋体" w:eastAsia="宋体"/>
          <w:sz w:val="24"/>
          <w:szCs w:val="24"/>
        </w:rPr>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ind w:firstLine="480"/>
        <w:rPr>
          <w:rFonts w:hint="eastAsia" w:ascii="宋体" w:hAnsi="宋体" w:eastAsia="宋体"/>
          <w:sz w:val="21"/>
          <w:szCs w:val="22"/>
        </w:rPr>
      </w:pPr>
      <w:r>
        <w:rPr>
          <w:rFonts w:hint="eastAsia" w:ascii="宋体" w:hAnsi="宋体" w:eastAsia="宋体"/>
          <w:sz w:val="24"/>
          <w:szCs w:val="24"/>
        </w:rPr>
        <w:t xml:space="preserve">日期：    年    月   日</w:t>
      </w:r>
      <w:r/>
    </w:p>
    <w:p>
      <w:pPr>
        <w:jc w:val="left"/>
        <w:widowControl/>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p>
    <w:p>
      <w:pPr>
        <w:jc w:val="center"/>
        <w:rPr>
          <w:rFonts w:hint="eastAsia" w:ascii="宋体" w:hAnsi="宋体" w:eastAsia="宋体"/>
          <w:sz w:val="44"/>
          <w:szCs w:val="44"/>
        </w:rPr>
      </w:pPr>
      <w:r>
        <w:rPr>
          <w:rFonts w:hint="eastAsia" w:ascii="宋体" w:hAnsi="宋体" w:eastAsia="宋体"/>
          <w:sz w:val="44"/>
          <w:szCs w:val="44"/>
        </w:rPr>
        <w:t xml:space="preserve">投标人基本情况表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投标人名称</w:t>
            </w:r>
            <w:r/>
          </w:p>
        </w:tc>
        <w:tc>
          <w:tcPr>
            <w:gridSpan w:val="3"/>
            <w:tcW w:w="699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法定代表人</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注册地区</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地址</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邮政编码</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成立时间</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单位性质</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注册号或社会信用代码</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注册资本（万元）</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投标人类别</w:t>
            </w:r>
            <w:r/>
          </w:p>
        </w:tc>
        <w:tc>
          <w:tcPr>
            <w:gridSpan w:val="3"/>
            <w:tcW w:w="699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开户银行</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账号</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联系人</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联系电话</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rHeight w:val="2376"/>
        </w:trPr>
        <w:tc>
          <w:tcPr>
            <w:tcW w:w="1526"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经营范围</w:t>
            </w:r>
            <w:r/>
          </w:p>
        </w:tc>
        <w:tc>
          <w:tcPr>
            <w:gridSpan w:val="3"/>
            <w:tcW w:w="6998" w:type="dxa"/>
            <w:textDirection w:val="lrTb"/>
            <w:noWrap w:val="false"/>
          </w:tcPr>
          <w:p>
            <w:pPr>
              <w:ind w:firstLine="1432"/>
              <w:spacing w:line="560" w:lineRule="exact"/>
              <w:rPr>
                <w:rFonts w:hint="eastAsia" w:ascii="宋体" w:hAnsi="宋体" w:eastAsia="宋体"/>
                <w:sz w:val="24"/>
                <w:szCs w:val="24"/>
              </w:rPr>
            </w:pPr>
            <w:r>
              <w:rPr>
                <w:rFonts w:hint="eastAsia" w:ascii="宋体" w:hAnsi="宋体" w:eastAsia="宋体"/>
                <w:sz w:val="24"/>
                <w:szCs w:val="24"/>
              </w:rPr>
            </w:r>
            <w:r/>
          </w:p>
        </w:tc>
      </w:tr>
      <w:tr>
        <w:trPr>
          <w:trHeight w:val="1134"/>
        </w:trPr>
        <w:tc>
          <w:tcPr>
            <w:tcW w:w="1526"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备注</w:t>
            </w:r>
            <w:r/>
          </w:p>
        </w:tc>
        <w:tc>
          <w:tcPr>
            <w:gridSpan w:val="3"/>
            <w:tcW w:w="6998" w:type="dxa"/>
            <w:vAlign w:val="center"/>
            <w:textDirection w:val="lrTb"/>
            <w:noWrap w:val="false"/>
          </w:tcPr>
          <w:p>
            <w:pPr>
              <w:jc w:val="center"/>
              <w:spacing w:line="500" w:lineRule="exact"/>
              <w:rPr>
                <w:rFonts w:hint="eastAsia" w:ascii="宋体" w:hAnsi="宋体" w:eastAsia="宋体"/>
                <w:sz w:val="24"/>
                <w:szCs w:val="24"/>
              </w:rPr>
            </w:pPr>
            <w:r>
              <w:rPr>
                <w:rFonts w:hint="eastAsia" w:ascii="宋体" w:hAnsi="宋体" w:eastAsia="宋体"/>
                <w:sz w:val="24"/>
                <w:szCs w:val="24"/>
              </w:rPr>
              <w:t xml:space="preserve">无需提供营业执照等证明材料</w:t>
            </w:r>
            <w:r/>
          </w:p>
        </w:tc>
      </w:tr>
    </w:tbl>
    <w:p>
      <w:pPr>
        <w:ind w:firstLine="480"/>
        <w:spacing w:line="440" w:lineRule="exact"/>
        <w:rPr>
          <w:rFonts w:hint="eastAsia" w:ascii="宋体" w:hAnsi="宋体" w:eastAsia="宋体"/>
          <w:sz w:val="24"/>
          <w:szCs w:val="21"/>
        </w:rPr>
      </w:pPr>
      <w:r>
        <w:rPr>
          <w:rFonts w:hint="eastAsia" w:ascii="宋体" w:hAnsi="宋体" w:eastAsia="宋体"/>
          <w:sz w:val="24"/>
          <w:szCs w:val="21"/>
        </w:rPr>
      </w:r>
      <w:r/>
    </w:p>
    <w:p>
      <w:pPr>
        <w:ind w:firstLine="480"/>
        <w:spacing w:line="440" w:lineRule="exact"/>
        <w:rPr>
          <w:rFonts w:hint="eastAsia" w:ascii="宋体" w:hAnsi="宋体" w:eastAsia="宋体"/>
          <w:sz w:val="24"/>
          <w:szCs w:val="21"/>
        </w:rPr>
      </w:pPr>
      <w:r>
        <w:rPr>
          <w:rFonts w:hint="eastAsia" w:ascii="宋体" w:hAnsi="宋体" w:eastAsia="宋体"/>
          <w:sz w:val="24"/>
          <w:szCs w:val="21"/>
        </w:rPr>
      </w:r>
      <w:r/>
    </w:p>
    <w:p>
      <w:pPr>
        <w:ind w:firstLine="480"/>
        <w:spacing w:line="440" w:lineRule="exact"/>
        <w:rPr>
          <w:rFonts w:hint="eastAsia" w:ascii="宋体" w:hAnsi="宋体" w:eastAsia="宋体"/>
          <w:sz w:val="24"/>
          <w:szCs w:val="21"/>
        </w:rPr>
      </w:pPr>
      <w:r>
        <w:rPr>
          <w:rFonts w:hint="eastAsia" w:ascii="宋体" w:hAnsi="宋体" w:eastAsia="宋体"/>
          <w:sz w:val="24"/>
          <w:szCs w:val="21"/>
        </w:rPr>
      </w:r>
      <w:r/>
    </w:p>
    <w:p>
      <w:pPr>
        <w:rPr>
          <w:rFonts w:hint="eastAsia" w:ascii="宋体" w:hAnsi="宋体" w:eastAsia="宋体"/>
          <w:i/>
          <w:sz w:val="32"/>
          <w:szCs w:val="32"/>
          <w:u w:val="single"/>
        </w:rPr>
      </w:pPr>
      <w:r>
        <w:rPr>
          <w:rFonts w:hint="eastAsia" w:ascii="宋体" w:hAnsi="宋体" w:eastAsia="宋体"/>
          <w:i/>
          <w:sz w:val="32"/>
          <w:szCs w:val="32"/>
          <w:u w:val="single"/>
        </w:rPr>
      </w:r>
      <w:r/>
    </w:p>
    <w:p>
      <w:pPr>
        <w:rPr>
          <w:rFonts w:hint="eastAsia"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p>
    <w:p>
      <w:pPr>
        <w:spacing w:line="460" w:lineRule="exact"/>
        <w:rPr>
          <w:rFonts w:hint="eastAsia"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p>
    <w:p>
      <w:pPr>
        <w:spacing w:line="460" w:lineRule="exact"/>
        <w:rPr>
          <w:rFonts w:hint="eastAsia" w:ascii="宋体" w:hAnsi="宋体" w:eastAsia="宋体"/>
          <w:bCs/>
          <w:sz w:val="24"/>
          <w:szCs w:val="21"/>
        </w:rPr>
      </w:pPr>
      <w:r>
        <w:rPr>
          <w:rFonts w:hint="eastAsia" w:ascii="宋体" w:hAnsi="宋体" w:eastAsia="宋体"/>
          <w:bCs/>
          <w:sz w:val="24"/>
          <w:szCs w:val="21"/>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ind w:firstLine="640"/>
        <w:jc w:val="left"/>
        <w:spacing w:line="560" w:lineRule="exact"/>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ind w:firstLine="640"/>
        <w:jc w:val="left"/>
        <w:spacing w:line="560" w:lineRule="exact"/>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rPr>
          <w:rFonts w:hint="eastAsia" w:ascii="宋体" w:hAnsi="宋体" w:eastAsia="宋体"/>
          <w:b/>
          <w:sz w:val="32"/>
          <w:szCs w:val="32"/>
        </w:rPr>
      </w:pPr>
      <w:r>
        <w:rPr>
          <w:rFonts w:hint="eastAsia" w:ascii="宋体" w:hAnsi="宋体" w:eastAsia="宋体"/>
          <w:b/>
          <w:sz w:val="32"/>
          <w:szCs w:val="32"/>
        </w:rPr>
        <w:t xml:space="preserve">四、法人授权书</w:t>
      </w:r>
      <w:r/>
    </w:p>
    <w:p>
      <w:pPr>
        <w:ind w:firstLine="480"/>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本授权书声明：____________（投标人名称）授权________________（被授权人的姓名）为我方就JSZC-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w:t>
      </w:r>
      <w:r>
        <w:rPr>
          <w:rFonts w:hint="eastAsia" w:ascii="宋体" w:hAnsi="宋体" w:eastAsia="宋体"/>
          <w:sz w:val="24"/>
          <w:szCs w:val="24"/>
        </w:rPr>
        <w:t xml:space="preserve">采购活动的合法代理人，以本单位名义全权处理一切与该项目采购有关的事务。</w:t>
      </w:r>
      <w:r/>
    </w:p>
    <w:p>
      <w:pPr>
        <w:ind w:firstLine="480"/>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本授权书于______年____月____日起生效，特此声明。</w:t>
      </w:r>
      <w:r/>
    </w:p>
    <w:p>
      <w:pPr>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p>
    <w:p>
      <w:pPr>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p>
    <w:p>
      <w:pPr>
        <w:ind w:firstLine="1200"/>
        <w:tabs>
          <w:tab w:val="left" w:pos="360" w:leader="none"/>
        </w:tabs>
        <w:rPr>
          <w:rFonts w:hint="eastAsia"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p>
    <w:p>
      <w:pPr>
        <w:ind w:firstLine="480"/>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p>
    <w:p>
      <w:pPr>
        <w:ind w:firstLine="480"/>
        <w:tabs>
          <w:tab w:val="left" w:pos="360" w:leader="none"/>
        </w:tabs>
        <w:rPr>
          <w:rFonts w:hint="eastAsia" w:ascii="宋体" w:hAnsi="宋体" w:eastAsia="宋体"/>
          <w:sz w:val="24"/>
          <w:szCs w:val="24"/>
        </w:rPr>
      </w:pPr>
      <w:r>
        <w:rPr>
          <w:rFonts w:hint="eastAsia" w:ascii="宋体" w:hAnsi="宋体" w:eastAsia="宋体"/>
          <w:sz w:val="24"/>
          <w:szCs w:val="24"/>
        </w:rPr>
        <w:t xml:space="preserve">      日期：</w:t>
      </w:r>
      <w:bookmarkStart w:id="55" w:name="_Hlt26955070"/>
      <w:r/>
      <w:bookmarkStart w:id="56" w:name="_Hlt26671380"/>
      <w:r/>
      <w:bookmarkStart w:id="57" w:name="_格式3__银行出具的资信证明"/>
      <w:r/>
      <w:bookmarkEnd w:id="55"/>
      <w:r/>
      <w:bookmarkEnd w:id="56"/>
      <w:r/>
      <w:bookmarkEnd w:id="57"/>
      <w:r>
        <w:rPr>
          <w:rFonts w:hint="eastAsia" w:ascii="宋体" w:hAnsi="宋体" w:eastAsia="宋体"/>
          <w:sz w:val="24"/>
          <w:szCs w:val="24"/>
          <w:u w:val="single"/>
        </w:rPr>
        <w:t xml:space="preserve">                                         </w:t>
      </w:r>
      <w:r/>
    </w:p>
    <w:p>
      <w:pPr>
        <w:ind w:firstLine="420"/>
        <w:rPr>
          <w:rFonts w:hint="eastAsia" w:ascii="宋体" w:hAnsi="宋体" w:eastAsia="宋体"/>
          <w:i/>
          <w:sz w:val="24"/>
          <w:szCs w:val="24"/>
          <w:u w:val="single"/>
        </w:rPr>
      </w:pPr>
      <w:r>
        <w:rPr>
          <w:rFonts w:hint="eastAsia" w:ascii="宋体" w:hAnsi="宋体" w:eastAsia="宋体"/>
          <w:i/>
          <w:sz w:val="24"/>
          <w:szCs w:val="24"/>
          <w:u w:val="single"/>
        </w:rPr>
      </w:r>
      <w:r/>
    </w:p>
    <w:p>
      <w:pPr>
        <w:rPr>
          <w:rFonts w:hint="eastAsia" w:ascii="宋体" w:hAnsi="宋体" w:eastAsia="宋体"/>
          <w:sz w:val="20"/>
          <w:szCs w:val="21"/>
        </w:rPr>
      </w:pPr>
      <w:r>
        <w:rPr>
          <w:rFonts w:hint="eastAsia" w:ascii="宋体" w:hAnsi="宋体" w:eastAsia="宋体"/>
          <w:sz w:val="20"/>
          <w:szCs w:val="21"/>
        </w:rPr>
      </w:r>
      <w:r/>
    </w:p>
    <w:p>
      <w:pPr>
        <w:spacing w:line="460" w:lineRule="exact"/>
        <w:rPr>
          <w:rFonts w:hint="eastAsia" w:ascii="宋体" w:hAnsi="宋体" w:eastAsia="宋体"/>
          <w:bCs/>
          <w:sz w:val="24"/>
          <w:szCs w:val="21"/>
        </w:rPr>
      </w:pPr>
      <w:r>
        <w:rPr>
          <w:rFonts w:hint="eastAsia" w:ascii="宋体" w:hAnsi="宋体" w:eastAsia="宋体"/>
          <w:bCs/>
          <w:sz w:val="24"/>
          <w:szCs w:val="21"/>
        </w:rPr>
      </w:r>
      <w:r/>
    </w:p>
    <w:p>
      <w:pPr>
        <w:jc w:val="center"/>
        <w:rPr>
          <w:rFonts w:hint="eastAsia"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p>
    <w:p>
      <w:pPr>
        <w:jc w:val="center"/>
        <w:rPr>
          <w:rFonts w:hint="eastAsia" w:ascii="宋体" w:hAnsi="宋体" w:eastAsia="宋体"/>
          <w:b/>
          <w:sz w:val="32"/>
          <w:szCs w:val="32"/>
        </w:rPr>
      </w:pPr>
      <w:r>
        <w:rPr>
          <w:rFonts w:hint="eastAsia" w:ascii="宋体" w:hAnsi="宋体" w:eastAsia="宋体"/>
          <w:b/>
          <w:sz w:val="32"/>
          <w:szCs w:val="32"/>
        </w:rPr>
      </w:r>
      <w:r/>
    </w:p>
    <w:p>
      <w:pPr>
        <w:jc w:val="center"/>
        <w:rPr>
          <w:rFonts w:hint="eastAsia" w:ascii="宋体" w:hAnsi="宋体" w:eastAsia="宋体"/>
          <w:b/>
          <w:sz w:val="32"/>
          <w:szCs w:val="32"/>
        </w:rPr>
      </w:pPr>
      <w:r>
        <w:rPr>
          <w:rFonts w:hint="eastAsia" w:ascii="宋体" w:hAnsi="宋体" w:eastAsia="宋体"/>
          <w:b/>
          <w:sz w:val="32"/>
          <w:szCs w:val="32"/>
        </w:rPr>
        <w:t xml:space="preserve">直接在苏</w:t>
      </w:r>
      <w:r>
        <w:rPr>
          <w:rFonts w:hint="eastAsia" w:ascii="宋体" w:hAnsi="宋体" w:eastAsia="宋体"/>
          <w:b/>
          <w:sz w:val="32"/>
          <w:szCs w:val="32"/>
        </w:rPr>
        <w:t xml:space="preserve">采云</w:t>
      </w:r>
      <w:r>
        <w:rPr>
          <w:rFonts w:hint="eastAsia" w:ascii="宋体" w:hAnsi="宋体" w:eastAsia="宋体"/>
          <w:b/>
          <w:sz w:val="32"/>
          <w:szCs w:val="32"/>
        </w:rPr>
        <w:t xml:space="preserve">系统里填写</w:t>
      </w:r>
      <w:r/>
    </w:p>
    <w:p>
      <w:pPr>
        <w:pStyle w:val="781"/>
      </w:pPr>
      <w:r/>
      <w:r/>
    </w:p>
    <w:p>
      <w:pPr>
        <w:pStyle w:val="781"/>
      </w:pPr>
      <w:r/>
      <w:r/>
    </w:p>
    <w:p>
      <w:pPr>
        <w:jc w:val="center"/>
        <w:rPr>
          <w:rFonts w:hint="eastAsia" w:ascii="宋体" w:hAnsi="宋体" w:eastAsia="宋体"/>
          <w:sz w:val="24"/>
        </w:rPr>
      </w:pPr>
      <w:r>
        <w:rPr>
          <w:rFonts w:hint="eastAsia" w:ascii="宋体" w:hAnsi="宋体" w:eastAsia="宋体"/>
          <w:sz w:val="24"/>
        </w:rPr>
      </w:r>
      <w:r/>
    </w:p>
    <w:p>
      <w:pPr>
        <w:ind w:firstLine="480"/>
        <w:rPr>
          <w:rFonts w:hint="eastAsia" w:ascii="宋体" w:hAnsi="宋体" w:eastAsia="宋体"/>
          <w:sz w:val="24"/>
          <w:szCs w:val="24"/>
        </w:rPr>
      </w:pPr>
      <w:r>
        <w:rPr>
          <w:rFonts w:hint="eastAsia" w:ascii="宋体" w:hAnsi="宋体" w:eastAsia="宋体"/>
          <w:sz w:val="24"/>
          <w:szCs w:val="24"/>
        </w:rPr>
      </w:r>
      <w:r/>
    </w:p>
    <w:p>
      <w:pPr>
        <w:ind w:firstLine="480"/>
        <w:rPr>
          <w:rFonts w:hint="eastAsia" w:ascii="宋体" w:hAnsi="宋体" w:eastAsia="宋体"/>
          <w:sz w:val="24"/>
          <w:szCs w:val="24"/>
        </w:rPr>
      </w:pPr>
      <w:r>
        <w:rPr>
          <w:rFonts w:hint="eastAsia" w:ascii="宋体" w:hAnsi="宋体" w:eastAsia="宋体"/>
          <w:sz w:val="24"/>
          <w:szCs w:val="24"/>
        </w:rPr>
      </w:r>
      <w:r/>
    </w:p>
    <w:p>
      <w:pPr>
        <w:ind w:firstLine="480"/>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r>
      <w:r/>
    </w:p>
    <w:p>
      <w:r/>
      <w:r/>
    </w:p>
    <w:p>
      <w:pPr>
        <w:jc w:val="center"/>
        <w:spacing w:line="560" w:lineRule="exact"/>
        <w:rPr>
          <w:rFonts w:hint="eastAsia" w:ascii="宋体" w:hAnsi="宋体" w:eastAsia="宋体"/>
          <w:b/>
          <w:color w:val="000000"/>
          <w:sz w:val="32"/>
          <w:szCs w:val="32"/>
        </w:rPr>
      </w:pPr>
      <w:r>
        <w:rPr>
          <w:rFonts w:hint="eastAsia" w:ascii="宋体" w:hAnsi="宋体" w:eastAsia="宋体"/>
          <w:b/>
          <w:color w:val="000000"/>
          <w:sz w:val="32"/>
          <w:szCs w:val="32"/>
        </w:rPr>
        <w:t xml:space="preserve">六、</w:t>
      </w:r>
      <w:r>
        <w:rPr>
          <w:rFonts w:hint="eastAsia" w:ascii="宋体" w:hAnsi="宋体" w:eastAsia="宋体"/>
          <w:b/>
          <w:color w:val="000000"/>
          <w:sz w:val="32"/>
          <w:szCs w:val="32"/>
        </w:rPr>
        <w:t xml:space="preserve">分项报价表（分包号：**）（货物类）</w:t>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序号</w:t>
            </w:r>
            <w:r/>
          </w:p>
        </w:tc>
        <w:tc>
          <w:tcPr>
            <w:tcW w:w="103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96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414"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784"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980"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5</w:t>
            </w:r>
            <w:r/>
          </w:p>
        </w:tc>
        <w:tc>
          <w:tcPr>
            <w:tcW w:w="727"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6</w:t>
            </w:r>
            <w:r/>
          </w:p>
        </w:tc>
        <w:tc>
          <w:tcPr>
            <w:tcW w:w="1372"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7</w:t>
            </w:r>
            <w:r/>
          </w:p>
        </w:tc>
        <w:tc>
          <w:tcPr>
            <w:tcW w:w="124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8</w:t>
            </w:r>
            <w:r/>
          </w:p>
        </w:tc>
      </w:tr>
      <w:tr>
        <w:trPr>
          <w:cantSplit/>
          <w:trHeight w:val="294"/>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103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产品</w:t>
            </w:r>
            <w:r/>
          </w:p>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名称</w:t>
            </w:r>
            <w:r/>
          </w:p>
        </w:tc>
        <w:tc>
          <w:tcPr>
            <w:tcW w:w="96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品牌</w:t>
            </w:r>
            <w:r/>
          </w:p>
        </w:tc>
        <w:tc>
          <w:tcPr>
            <w:tcW w:w="1414"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规格</w:t>
            </w:r>
            <w:r/>
          </w:p>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型号</w:t>
            </w:r>
            <w:r/>
          </w:p>
        </w:tc>
        <w:tc>
          <w:tcPr>
            <w:tcW w:w="784"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产地</w:t>
            </w:r>
            <w:r/>
          </w:p>
        </w:tc>
        <w:tc>
          <w:tcPr>
            <w:tcW w:w="980"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交付期</w:t>
            </w:r>
            <w:r/>
          </w:p>
        </w:tc>
        <w:tc>
          <w:tcPr>
            <w:tcW w:w="727"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数量</w:t>
            </w:r>
            <w:r/>
          </w:p>
        </w:tc>
        <w:tc>
          <w:tcPr>
            <w:tcW w:w="1372"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分项单价</w:t>
            </w:r>
            <w:r/>
          </w:p>
        </w:tc>
        <w:tc>
          <w:tcPr>
            <w:tcW w:w="124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03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724"/>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103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640"/>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103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580"/>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ascii="宋体" w:hAnsi="宋体" w:eastAsia="宋体"/>
                <w:color w:val="000000"/>
                <w:sz w:val="24"/>
                <w:szCs w:val="24"/>
              </w:rPr>
              <w:t xml:space="preserve">…</w:t>
            </w:r>
            <w:r/>
          </w:p>
        </w:tc>
        <w:tc>
          <w:tcPr>
            <w:tcW w:w="1036" w:type="dxa"/>
            <w:vAlign w:val="center"/>
            <w:textDirection w:val="lrTb"/>
            <w:noWrap w:val="false"/>
          </w:tcPr>
          <w:p>
            <w:pPr>
              <w:spacing w:line="560" w:lineRule="exact"/>
              <w:rPr>
                <w:rFonts w:hint="eastAsia" w:ascii="宋体" w:hAnsi="宋体" w:eastAsia="宋体"/>
                <w:color w:val="000000"/>
                <w:sz w:val="24"/>
                <w:szCs w:val="24"/>
              </w:rPr>
            </w:pPr>
            <w:r>
              <w:rPr>
                <w:rFonts w:ascii="宋体" w:hAnsi="宋体" w:eastAsia="宋体"/>
                <w:color w:val="000000"/>
                <w:sz w:val="24"/>
                <w:szCs w:val="24"/>
              </w:rPr>
              <w:t xml:space="preserve">……</w:t>
            </w:r>
            <w:r/>
          </w:p>
        </w:tc>
        <w:tc>
          <w:tcPr>
            <w:tcW w:w="96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1030"/>
        </w:trPr>
        <w:tc>
          <w:tcPr>
            <w:gridSpan w:val="8"/>
            <w:tcW w:w="7835"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总报价（人民币：元）</w:t>
            </w:r>
            <w:r/>
          </w:p>
        </w:tc>
        <w:tc>
          <w:tcPr>
            <w:tcW w:w="1246" w:type="dxa"/>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bl>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pStyle w:val="998"/>
        <w:jc w:val="center"/>
        <w:rPr>
          <w:rFonts w:hint="eastAsia"/>
          <w:b/>
          <w:bCs/>
          <w:iCs/>
          <w:szCs w:val="32"/>
        </w:rPr>
        <w:outlineLvl w:val="1"/>
      </w:pPr>
      <w:r>
        <w:rPr>
          <w:rFonts w:hint="eastAsia" w:asciiTheme="minorEastAsia" w:hAnsiTheme="minorEastAsia" w:eastAsiaTheme="minorEastAsia"/>
          <w:b/>
          <w:bCs/>
          <w:iCs/>
          <w:szCs w:val="32"/>
        </w:rPr>
        <w:t xml:space="preserve">七、</w:t>
      </w:r>
      <w:r>
        <w:rPr>
          <w:rFonts w:hint="eastAsia"/>
          <w:b/>
          <w:bCs/>
          <w:iCs/>
          <w:szCs w:val="32"/>
        </w:rPr>
        <w:t xml:space="preserve">中小企业声明函</w:t>
      </w:r>
      <w:r/>
    </w:p>
    <w:p>
      <w:pPr>
        <w:pStyle w:val="997"/>
        <w:jc w:val="center"/>
        <w:rPr>
          <w:rFonts w:hint="eastAsia" w:ascii="宋体" w:hAnsi="宋体"/>
          <w:b/>
          <w:sz w:val="36"/>
          <w:szCs w:val="36"/>
        </w:rPr>
      </w:pPr>
      <w:r>
        <w:rPr>
          <w:rFonts w:hint="eastAsia" w:ascii="宋体" w:hAnsi="宋体"/>
          <w:b/>
          <w:sz w:val="36"/>
          <w:szCs w:val="36"/>
        </w:rPr>
        <w:t xml:space="preserve">中小企业声明函（货物）</w:t>
      </w:r>
      <w:r/>
    </w:p>
    <w:p>
      <w:pPr>
        <w:pStyle w:val="997"/>
        <w:jc w:val="left"/>
        <w:rPr>
          <w:rFonts w:hint="eastAsia" w:ascii="宋体" w:hAnsi="宋体"/>
          <w:b/>
          <w:sz w:val="32"/>
          <w:szCs w:val="32"/>
        </w:rPr>
      </w:pPr>
      <w:r>
        <w:rPr>
          <w:rFonts w:hint="eastAsia" w:ascii="宋体" w:hAnsi="宋体"/>
          <w:b/>
          <w:sz w:val="32"/>
          <w:szCs w:val="32"/>
        </w:rPr>
      </w:r>
      <w:r/>
    </w:p>
    <w:p>
      <w:pPr>
        <w:pStyle w:val="997"/>
        <w:ind w:firstLine="480"/>
        <w:jc w:val="left"/>
        <w:spacing w:line="5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p>
    <w:p>
      <w:pPr>
        <w:pStyle w:val="997"/>
        <w:ind w:firstLine="480"/>
        <w:jc w:val="left"/>
        <w:spacing w:line="500" w:lineRule="exact"/>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997"/>
        <w:ind w:firstLine="480"/>
        <w:jc w:val="left"/>
        <w:spacing w:line="500" w:lineRule="exact"/>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997"/>
        <w:ind w:firstLine="480"/>
        <w:jc w:val="left"/>
        <w:spacing w:line="500" w:lineRule="exact"/>
        <w:rPr>
          <w:rFonts w:hint="eastAsia" w:ascii="宋体" w:hAnsi="宋体"/>
          <w:sz w:val="24"/>
          <w:szCs w:val="24"/>
        </w:rPr>
      </w:pPr>
      <w:r>
        <w:rPr>
          <w:rFonts w:ascii="宋体" w:hAnsi="宋体"/>
          <w:sz w:val="24"/>
          <w:szCs w:val="24"/>
        </w:rPr>
        <w:t xml:space="preserve">……</w:t>
      </w:r>
      <w:r/>
    </w:p>
    <w:p>
      <w:pPr>
        <w:pStyle w:val="997"/>
        <w:ind w:firstLine="480"/>
        <w:jc w:val="left"/>
        <w:spacing w:line="5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97"/>
        <w:ind w:firstLine="480"/>
        <w:jc w:val="left"/>
        <w:spacing w:line="5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97"/>
        <w:ind w:firstLine="480"/>
        <w:jc w:val="center"/>
        <w:spacing w:line="500" w:lineRule="exact"/>
        <w:rPr>
          <w:rFonts w:hint="eastAsia" w:ascii="宋体" w:hAnsi="宋体"/>
          <w:sz w:val="24"/>
          <w:szCs w:val="24"/>
        </w:rPr>
      </w:pPr>
      <w:r>
        <w:rPr>
          <w:rFonts w:hint="eastAsia" w:ascii="宋体" w:hAnsi="宋体"/>
          <w:sz w:val="24"/>
          <w:szCs w:val="24"/>
        </w:rPr>
      </w:r>
      <w:r/>
    </w:p>
    <w:p>
      <w:pPr>
        <w:pStyle w:val="997"/>
        <w:ind w:firstLine="480"/>
        <w:jc w:val="left"/>
        <w:spacing w:line="500" w:lineRule="exact"/>
        <w:rPr>
          <w:rFonts w:hint="eastAsia" w:ascii="宋体" w:hAnsi="宋体"/>
          <w:sz w:val="24"/>
          <w:szCs w:val="24"/>
        </w:rPr>
      </w:pPr>
      <w:r>
        <w:rPr>
          <w:rFonts w:hint="eastAsia" w:ascii="宋体" w:hAnsi="宋体"/>
          <w:sz w:val="24"/>
          <w:szCs w:val="24"/>
        </w:rPr>
        <w:t xml:space="preserve">企业名称（加盖CA电子公章）：</w:t>
      </w:r>
      <w:r/>
    </w:p>
    <w:p>
      <w:pPr>
        <w:pStyle w:val="997"/>
        <w:ind w:firstLine="480"/>
        <w:jc w:val="left"/>
        <w:spacing w:line="500" w:lineRule="exact"/>
        <w:rPr>
          <w:rFonts w:hint="eastAsia" w:ascii="宋体" w:hAnsi="宋体"/>
          <w:sz w:val="24"/>
          <w:szCs w:val="24"/>
        </w:rPr>
      </w:pPr>
      <w:r>
        <w:rPr>
          <w:rFonts w:hint="eastAsia" w:ascii="宋体" w:hAnsi="宋体"/>
          <w:sz w:val="24"/>
          <w:szCs w:val="24"/>
        </w:rPr>
        <w:t xml:space="preserve">日期：</w:t>
      </w:r>
      <w:r/>
    </w:p>
    <w:p>
      <w:pPr>
        <w:pStyle w:val="997"/>
        <w:ind w:firstLine="560"/>
        <w:spacing w:line="560" w:lineRule="exact"/>
        <w:rPr>
          <w:rFonts w:hint="eastAsia" w:ascii="宋体" w:hAnsi="宋体"/>
          <w:sz w:val="28"/>
          <w:szCs w:val="28"/>
        </w:rPr>
      </w:pPr>
      <w:r>
        <w:rPr>
          <w:rFonts w:hint="eastAsia" w:ascii="宋体" w:hAnsi="宋体"/>
          <w:sz w:val="28"/>
          <w:szCs w:val="28"/>
        </w:rPr>
      </w:r>
      <w:r/>
    </w:p>
    <w:p>
      <w:pPr>
        <w:pStyle w:val="997"/>
        <w:ind w:firstLine="360"/>
        <w:spacing w:line="560" w:lineRule="exact"/>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997"/>
        <w:jc w:val="center"/>
        <w:rPr>
          <w:rFonts w:hint="eastAsia" w:ascii="宋体" w:hAnsi="宋体"/>
          <w:b/>
          <w:sz w:val="36"/>
          <w:szCs w:val="36"/>
        </w:rPr>
      </w:pPr>
      <w:r>
        <w:rPr>
          <w:rFonts w:hint="eastAsia" w:ascii="宋体" w:hAnsi="宋体"/>
          <w:b/>
          <w:sz w:val="36"/>
          <w:szCs w:val="36"/>
        </w:rPr>
      </w:r>
      <w:r/>
    </w:p>
    <w:p>
      <w:pPr>
        <w:pStyle w:val="997"/>
        <w:rPr>
          <w:rFonts w:hint="eastAsia" w:ascii="宋体" w:hAnsi="宋体"/>
          <w:b/>
          <w:sz w:val="36"/>
          <w:szCs w:val="36"/>
        </w:rPr>
      </w:pPr>
      <w:r>
        <w:rPr>
          <w:rFonts w:hint="eastAsia" w:ascii="宋体" w:hAnsi="宋体"/>
          <w:b/>
          <w:sz w:val="36"/>
          <w:szCs w:val="36"/>
        </w:rPr>
      </w:r>
      <w:r/>
    </w:p>
    <w:p>
      <w:pPr>
        <w:pStyle w:val="997"/>
        <w:jc w:val="center"/>
        <w:rPr>
          <w:rFonts w:hint="eastAsia" w:ascii="宋体" w:hAnsi="宋体"/>
          <w:b/>
          <w:sz w:val="36"/>
          <w:szCs w:val="36"/>
        </w:rPr>
      </w:pPr>
      <w:r>
        <w:rPr>
          <w:rFonts w:hint="eastAsia" w:ascii="宋体" w:hAnsi="宋体"/>
          <w:b/>
          <w:sz w:val="36"/>
          <w:szCs w:val="36"/>
        </w:rPr>
      </w:r>
      <w:r/>
    </w:p>
    <w:p>
      <w:pPr>
        <w:pStyle w:val="997"/>
        <w:jc w:val="center"/>
        <w:rPr>
          <w:rFonts w:hint="eastAsia" w:ascii="宋体" w:hAnsi="宋体"/>
          <w:b/>
          <w:sz w:val="36"/>
          <w:szCs w:val="36"/>
        </w:rPr>
      </w:pPr>
      <w:r>
        <w:rPr>
          <w:rFonts w:hint="eastAsia" w:ascii="宋体" w:hAnsi="宋体"/>
          <w:b/>
          <w:sz w:val="36"/>
          <w:szCs w:val="36"/>
        </w:rPr>
      </w:r>
      <w:r/>
    </w:p>
    <w:p>
      <w:pPr>
        <w:pStyle w:val="997"/>
        <w:jc w:val="center"/>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997"/>
        <w:jc w:val="center"/>
        <w:rPr>
          <w:rFonts w:hint="eastAsia" w:ascii="宋体" w:hAnsi="宋体"/>
          <w:b/>
          <w:sz w:val="36"/>
          <w:szCs w:val="36"/>
        </w:rPr>
      </w:pPr>
      <w:r>
        <w:rPr>
          <w:rFonts w:hint="eastAsia" w:ascii="宋体" w:hAnsi="宋体"/>
          <w:b/>
          <w:sz w:val="36"/>
          <w:szCs w:val="36"/>
        </w:rPr>
      </w:r>
      <w:r/>
    </w:p>
    <w:p>
      <w:pPr>
        <w:pStyle w:val="997"/>
        <w:jc w:val="center"/>
        <w:rPr>
          <w:rFonts w:hint="eastAsia" w:ascii="宋体" w:hAnsi="宋体"/>
          <w:b/>
          <w:sz w:val="36"/>
          <w:szCs w:val="36"/>
        </w:rPr>
      </w:pPr>
      <w:r>
        <w:rPr>
          <w:rFonts w:hint="eastAsia" w:ascii="宋体" w:hAnsi="宋体"/>
          <w:b/>
          <w:sz w:val="36"/>
          <w:szCs w:val="36"/>
        </w:rPr>
        <w:t xml:space="preserve">中小企业声明函（工程、服务）</w:t>
      </w:r>
      <w:r/>
    </w:p>
    <w:p>
      <w:pPr>
        <w:pStyle w:val="997"/>
        <w:jc w:val="left"/>
        <w:rPr>
          <w:rFonts w:hint="eastAsia" w:ascii="宋体" w:hAnsi="宋体"/>
          <w:b/>
          <w:sz w:val="32"/>
          <w:szCs w:val="32"/>
        </w:rPr>
      </w:pPr>
      <w:r>
        <w:rPr>
          <w:rFonts w:hint="eastAsia" w:ascii="宋体" w:hAnsi="宋体"/>
          <w:b/>
          <w:sz w:val="32"/>
          <w:szCs w:val="32"/>
        </w:rPr>
      </w:r>
      <w:r/>
    </w:p>
    <w:p>
      <w:pPr>
        <w:pStyle w:val="997"/>
        <w:ind w:firstLine="480"/>
        <w:jc w:val="left"/>
        <w:spacing w:line="5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997"/>
        <w:ind w:firstLine="480"/>
        <w:jc w:val="left"/>
        <w:spacing w:line="500" w:lineRule="exact"/>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997"/>
        <w:ind w:firstLine="480"/>
        <w:jc w:val="left"/>
        <w:spacing w:line="500" w:lineRule="exact"/>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997"/>
        <w:ind w:firstLine="480"/>
        <w:jc w:val="left"/>
        <w:spacing w:line="500" w:lineRule="exact"/>
        <w:rPr>
          <w:rFonts w:hint="eastAsia" w:ascii="宋体" w:hAnsi="宋体"/>
          <w:sz w:val="24"/>
          <w:szCs w:val="24"/>
        </w:rPr>
      </w:pPr>
      <w:r>
        <w:rPr>
          <w:rFonts w:ascii="宋体" w:hAnsi="宋体"/>
          <w:sz w:val="24"/>
          <w:szCs w:val="24"/>
        </w:rPr>
        <w:t xml:space="preserve">……</w:t>
      </w:r>
      <w:r/>
    </w:p>
    <w:p>
      <w:pPr>
        <w:pStyle w:val="997"/>
        <w:ind w:firstLine="480"/>
        <w:jc w:val="left"/>
        <w:spacing w:line="5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97"/>
        <w:ind w:firstLine="480"/>
        <w:jc w:val="left"/>
        <w:spacing w:line="5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97"/>
        <w:ind w:firstLine="480"/>
        <w:jc w:val="center"/>
        <w:spacing w:line="500" w:lineRule="exact"/>
        <w:rPr>
          <w:rFonts w:hint="eastAsia" w:ascii="宋体" w:hAnsi="宋体"/>
          <w:sz w:val="24"/>
          <w:szCs w:val="24"/>
        </w:rPr>
      </w:pPr>
      <w:r>
        <w:rPr>
          <w:rFonts w:hint="eastAsia" w:ascii="宋体" w:hAnsi="宋体"/>
          <w:sz w:val="24"/>
          <w:szCs w:val="24"/>
        </w:rPr>
      </w:r>
      <w:r/>
    </w:p>
    <w:p>
      <w:pPr>
        <w:pStyle w:val="997"/>
        <w:ind w:firstLine="480"/>
        <w:jc w:val="left"/>
        <w:spacing w:line="500" w:lineRule="exact"/>
        <w:rPr>
          <w:rFonts w:hint="eastAsia" w:ascii="宋体" w:hAnsi="宋体"/>
          <w:sz w:val="24"/>
          <w:szCs w:val="24"/>
        </w:rPr>
      </w:pPr>
      <w:r>
        <w:rPr>
          <w:rFonts w:hint="eastAsia" w:ascii="宋体" w:hAnsi="宋体"/>
          <w:sz w:val="24"/>
          <w:szCs w:val="24"/>
        </w:rPr>
        <w:t xml:space="preserve">企业名称（加盖CA电子公章）：</w:t>
      </w:r>
      <w:r/>
    </w:p>
    <w:p>
      <w:pPr>
        <w:pStyle w:val="997"/>
        <w:ind w:firstLine="480"/>
        <w:jc w:val="left"/>
        <w:spacing w:line="500" w:lineRule="exact"/>
        <w:rPr>
          <w:rFonts w:hint="eastAsia" w:ascii="宋体" w:hAnsi="宋体"/>
          <w:sz w:val="24"/>
          <w:szCs w:val="24"/>
        </w:rPr>
      </w:pPr>
      <w:r>
        <w:rPr>
          <w:rFonts w:hint="eastAsia" w:ascii="宋体" w:hAnsi="宋体"/>
          <w:sz w:val="24"/>
          <w:szCs w:val="24"/>
        </w:rPr>
        <w:t xml:space="preserve">日期：</w:t>
      </w:r>
      <w:r/>
    </w:p>
    <w:p>
      <w:pPr>
        <w:pStyle w:val="997"/>
        <w:ind w:firstLine="480"/>
        <w:spacing w:line="500" w:lineRule="exact"/>
        <w:rPr>
          <w:rFonts w:hint="eastAsia" w:ascii="宋体" w:hAnsi="宋体"/>
          <w:sz w:val="24"/>
          <w:szCs w:val="24"/>
        </w:rPr>
      </w:pPr>
      <w:r>
        <w:rPr>
          <w:rFonts w:hint="eastAsia" w:ascii="宋体" w:hAnsi="宋体"/>
          <w:sz w:val="24"/>
          <w:szCs w:val="24"/>
        </w:rPr>
      </w:r>
      <w:r/>
    </w:p>
    <w:p>
      <w:pPr>
        <w:pStyle w:val="997"/>
        <w:ind w:firstLine="360"/>
        <w:spacing w:line="560" w:lineRule="exact"/>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997"/>
        <w:jc w:val="center"/>
        <w:spacing w:before="151" w:after="151" w:line="600" w:lineRule="exact"/>
        <w:rPr>
          <w:rFonts w:hint="eastAsia" w:ascii="宋体" w:hAnsi="宋体"/>
          <w:b/>
          <w:bCs/>
          <w:sz w:val="32"/>
          <w:szCs w:val="32"/>
        </w:rPr>
      </w:pPr>
      <w:r>
        <w:rPr>
          <w:rFonts w:hint="eastAsia" w:ascii="宋体" w:hAnsi="宋体"/>
          <w:b/>
          <w:bCs/>
          <w:sz w:val="32"/>
          <w:szCs w:val="32"/>
        </w:rPr>
      </w:r>
      <w:r/>
    </w:p>
    <w:p>
      <w:pPr>
        <w:pStyle w:val="997"/>
        <w:spacing w:before="151" w:after="151" w:line="600" w:lineRule="exact"/>
        <w:rPr>
          <w:rFonts w:hint="eastAsia" w:ascii="宋体" w:hAnsi="宋体"/>
          <w:b/>
          <w:bCs/>
          <w:sz w:val="32"/>
          <w:szCs w:val="32"/>
        </w:rPr>
      </w:pPr>
      <w:r>
        <w:rPr>
          <w:rFonts w:hint="eastAsia" w:ascii="宋体" w:hAnsi="宋体"/>
          <w:b/>
          <w:bCs/>
          <w:sz w:val="32"/>
          <w:szCs w:val="32"/>
        </w:rPr>
      </w:r>
      <w:r/>
    </w:p>
    <w:p>
      <w:pPr>
        <w:pStyle w:val="997"/>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997"/>
        <w:rPr>
          <w:rFonts w:hint="eastAsia" w:ascii="宋体" w:hAnsi="宋体"/>
          <w:b/>
          <w:sz w:val="36"/>
          <w:szCs w:val="36"/>
        </w:rPr>
      </w:pPr>
      <w:r>
        <w:rPr>
          <w:rFonts w:hint="eastAsia" w:ascii="宋体" w:hAnsi="宋体"/>
          <w:b/>
          <w:sz w:val="36"/>
          <w:szCs w:val="36"/>
        </w:rPr>
      </w:r>
      <w:r/>
    </w:p>
    <w:p>
      <w:pPr>
        <w:pStyle w:val="999"/>
        <w:jc w:val="center"/>
        <w:spacing w:before="151" w:after="151" w:line="600" w:lineRule="exact"/>
        <w:rPr>
          <w:rFonts w:hint="eastAsia" w:ascii="宋体" w:hAnsi="宋体"/>
          <w:b/>
          <w:bCs/>
          <w:sz w:val="32"/>
          <w:szCs w:val="32"/>
        </w:rPr>
      </w:pPr>
      <w:r>
        <w:rPr>
          <w:rFonts w:hint="eastAsia" w:ascii="宋体" w:hAnsi="宋体"/>
          <w:b/>
          <w:bCs/>
          <w:sz w:val="32"/>
          <w:szCs w:val="32"/>
        </w:rPr>
        <w:t xml:space="preserve">残疾人福利性单位声明函</w:t>
      </w:r>
      <w:r/>
    </w:p>
    <w:p>
      <w:pPr>
        <w:pStyle w:val="1000"/>
        <w:spacing w:line="588" w:lineRule="exact"/>
        <w:rPr>
          <w:rFonts w:hint="eastAsia" w:ascii="宋体" w:hAnsi="宋体"/>
          <w:b/>
          <w:spacing w:val="6"/>
          <w:sz w:val="30"/>
          <w:szCs w:val="30"/>
        </w:rPr>
      </w:pPr>
      <w:r>
        <w:rPr>
          <w:rFonts w:hint="eastAsia" w:ascii="宋体" w:hAnsi="宋体"/>
          <w:b/>
          <w:spacing w:val="6"/>
          <w:sz w:val="30"/>
          <w:szCs w:val="30"/>
        </w:rPr>
      </w:r>
      <w:r/>
    </w:p>
    <w:p>
      <w:pPr>
        <w:pStyle w:val="999"/>
        <w:ind w:firstLine="480"/>
        <w:spacing w:line="500"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w:t>
      </w:r>
      <w:r>
        <w:rPr>
          <w:rFonts w:ascii="宋体" w:hAnsi="宋体"/>
          <w:sz w:val="24"/>
        </w:rPr>
        <w:t xml:space="preserve">2017</w:t>
      </w:r>
      <w:r>
        <w:rPr>
          <w:rFonts w:hint="eastAsia" w:ascii="宋体" w:hAnsi="宋体"/>
          <w:sz w:val="24"/>
        </w:rPr>
        <w:t xml:space="preserve">〕</w:t>
      </w:r>
      <w:r>
        <w:rPr>
          <w:rFonts w:ascii="宋体" w:hAnsi="宋体"/>
          <w:sz w:val="24"/>
        </w:rPr>
        <w:t xml:space="preserve">141</w:t>
      </w:r>
      <w:r>
        <w:rPr>
          <w:rFonts w:hint="eastAsia" w:ascii="宋体" w:hAnsi="宋体"/>
          <w:sz w:val="24"/>
        </w:rPr>
        <w:t xml:space="preserve">号）的规定，本单位为符合条件的残疾人福利性单位，且本单位参加</w:t>
      </w:r>
      <w:r>
        <w:rPr>
          <w:rFonts w:hint="eastAsia"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项目采购活动提供本单位制造的货物（由本单位承担工程/提供服务），或者提供其他残疾人福利性单位制造的货物（不包括使用非残疾人福利性单位注册商标的货物）。</w:t>
      </w:r>
      <w:r/>
    </w:p>
    <w:p>
      <w:pPr>
        <w:pStyle w:val="999"/>
        <w:ind w:firstLine="480"/>
        <w:spacing w:line="500"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pStyle w:val="1001"/>
        <w:ind w:firstLine="3810"/>
        <w:spacing w:line="500" w:lineRule="exact"/>
        <w:rPr>
          <w:rFonts w:hint="eastAsia" w:ascii="宋体" w:hAnsi="宋体"/>
          <w:spacing w:val="6"/>
          <w:sz w:val="24"/>
          <w:szCs w:val="24"/>
        </w:rPr>
      </w:pPr>
      <w:r>
        <w:rPr>
          <w:rFonts w:hint="eastAsia" w:ascii="宋体" w:hAnsi="宋体"/>
          <w:spacing w:val="6"/>
          <w:sz w:val="24"/>
          <w:szCs w:val="24"/>
        </w:rPr>
      </w:r>
      <w:r/>
    </w:p>
    <w:p>
      <w:pPr>
        <w:pStyle w:val="1001"/>
        <w:ind w:firstLine="3629"/>
        <w:jc w:val="left"/>
        <w:spacing w:line="500" w:lineRule="exact"/>
        <w:rPr>
          <w:rFonts w:hint="eastAsia" w:ascii="宋体" w:hAnsi="宋体"/>
          <w:sz w:val="24"/>
        </w:rPr>
      </w:pPr>
      <w:r>
        <w:rPr>
          <w:rFonts w:hint="eastAsia" w:ascii="宋体" w:hAnsi="宋体"/>
          <w:sz w:val="24"/>
        </w:rPr>
      </w:r>
      <w:r/>
    </w:p>
    <w:p>
      <w:pPr>
        <w:pStyle w:val="1001"/>
        <w:ind w:firstLine="480"/>
        <w:jc w:val="left"/>
        <w:spacing w:line="500" w:lineRule="exact"/>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（加盖CA电子公章）</w:t>
      </w:r>
      <w:r/>
    </w:p>
    <w:p>
      <w:pPr>
        <w:pStyle w:val="997"/>
        <w:ind w:firstLine="480"/>
        <w:jc w:val="left"/>
        <w:spacing w:line="500" w:lineRule="exact"/>
        <w:rPr>
          <w:rFonts w:hint="eastAsia" w:ascii="宋体" w:hAnsi="宋体"/>
          <w:sz w:val="24"/>
          <w:szCs w:val="20"/>
        </w:rPr>
      </w:pPr>
      <w:r>
        <w:rPr>
          <w:rFonts w:hint="eastAsia" w:ascii="宋体" w:hAnsi="宋体"/>
          <w:sz w:val="24"/>
          <w:szCs w:val="20"/>
        </w:rPr>
        <w:t xml:space="preserve">日期：  年  月  日</w:t>
      </w:r>
      <w:r/>
    </w:p>
    <w:p>
      <w:pPr>
        <w:pStyle w:val="1000"/>
        <w:ind w:right="1560" w:firstLine="480"/>
        <w:jc w:val="center"/>
        <w:spacing w:line="588" w:lineRule="exact"/>
        <w:tabs>
          <w:tab w:val="left" w:pos="4860" w:leader="none"/>
        </w:tabs>
        <w:rPr>
          <w:rFonts w:hint="eastAsia" w:ascii="宋体" w:hAnsi="宋体" w:cs="Arial"/>
          <w:sz w:val="24"/>
          <w:szCs w:val="24"/>
        </w:rPr>
      </w:pPr>
      <w:r>
        <w:rPr>
          <w:rFonts w:hint="eastAsia" w:ascii="宋体" w:hAnsi="宋体" w:cs="Arial"/>
          <w:sz w:val="24"/>
          <w:szCs w:val="24"/>
        </w:rPr>
      </w:r>
      <w:r/>
    </w:p>
    <w:p>
      <w:pPr>
        <w:pStyle w:val="1002"/>
        <w:ind w:left="357" w:firstLine="0"/>
        <w:spacing w:line="500" w:lineRule="exact"/>
        <w:rPr>
          <w:rFonts w:hint="eastAsia" w:ascii="宋体" w:hAnsi="宋体" w:cs="Arial"/>
          <w:sz w:val="24"/>
          <w:szCs w:val="24"/>
        </w:rPr>
      </w:pPr>
      <w:r>
        <w:rPr>
          <w:rFonts w:hint="eastAsia" w:ascii="宋体" w:hAnsi="宋体" w:cs="Arial"/>
          <w:sz w:val="24"/>
          <w:szCs w:val="24"/>
        </w:rPr>
      </w:r>
      <w:r/>
    </w:p>
    <w:p>
      <w:pPr>
        <w:pStyle w:val="999"/>
        <w:ind w:firstLine="445"/>
        <w:spacing w:before="151" w:after="151" w:line="240" w:lineRule="atLeast"/>
        <w:rPr>
          <w:rFonts w:hint="eastAsia" w:ascii="宋体" w:hAnsi="宋体"/>
          <w:sz w:val="24"/>
        </w:rPr>
      </w:pPr>
      <w:r>
        <w:rPr>
          <w:rFonts w:hint="eastAsia" w:ascii="宋体" w:hAnsi="宋体"/>
          <w:sz w:val="24"/>
        </w:rPr>
        <w:t xml:space="preserve">注：非残疾人福利性单位不需提供此函。</w:t>
      </w:r>
      <w:r/>
    </w:p>
    <w:p>
      <w:pPr>
        <w:jc w:val="left"/>
        <w:keepLines/>
        <w:spacing w:before="120" w:after="120" w:line="416" w:lineRule="auto"/>
        <w:rPr>
          <w:rFonts w:eastAsia="黑体"/>
          <w:b/>
          <w:sz w:val="32"/>
          <w:szCs w:val="32"/>
        </w:rPr>
        <w:outlineLvl w:val="1"/>
      </w:pPr>
      <w:r>
        <w:rPr>
          <w:rFonts w:eastAsia="黑体"/>
          <w:b/>
          <w:sz w:val="32"/>
          <w:szCs w:val="32"/>
        </w:rPr>
        <w:br w:type="page" w:clear="all"/>
      </w:r>
      <w:r>
        <w:rPr>
          <w:rFonts w:hint="eastAsia" w:eastAsia="黑体"/>
          <w:b/>
          <w:sz w:val="32"/>
          <w:szCs w:val="32"/>
        </w:rPr>
        <w:t xml:space="preserve">八、技术及商务要求响应及偏离表（分包号：</w:t>
      </w:r>
      <w:r>
        <w:rPr>
          <w:rFonts w:hint="eastAsia" w:eastAsia="黑体"/>
          <w:b/>
          <w:sz w:val="32"/>
          <w:szCs w:val="32"/>
        </w:rPr>
        <w:t xml:space="preserve">**</w:t>
      </w:r>
      <w:r>
        <w:rPr>
          <w:rFonts w:hint="eastAsia" w:eastAsia="黑体"/>
          <w:b/>
          <w:sz w:val="32"/>
          <w:szCs w:val="32"/>
        </w:rPr>
        <w:t xml:space="preserve">）</w:t>
      </w:r>
      <w:r/>
    </w:p>
    <w:p>
      <w:pPr>
        <w:jc w:val="center"/>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技术要求响应及偏离表</w:t>
      </w:r>
      <w:r/>
    </w:p>
    <w:tbl>
      <w:tblPr>
        <w:tblW w:w="0" w:type="auto"/>
        <w:tblCellSpacing w:w="0" w:type="dxa"/>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keepLines/>
        <w:spacing w:before="120" w:after="120" w:line="416" w:lineRule="auto"/>
        <w:rPr>
          <w:rFonts w:eastAsia="宋体"/>
          <w:sz w:val="24"/>
          <w:szCs w:val="21"/>
        </w:rPr>
        <w:outlineLvl w:val="1"/>
      </w:pPr>
      <w:r>
        <w:rPr>
          <w:rFonts w:eastAsia="宋体"/>
          <w:sz w:val="24"/>
          <w:szCs w:val="21"/>
        </w:rPr>
        <w:t xml:space="preserve">1.</w:t>
      </w:r>
      <w:r>
        <w:rPr>
          <w:rFonts w:hint="eastAsia" w:eastAsia="宋体"/>
          <w:sz w:val="24"/>
          <w:szCs w:val="21"/>
        </w:rPr>
        <w:t xml:space="preserve">投标人</w:t>
      </w:r>
      <w:r>
        <w:rPr>
          <w:rFonts w:eastAsia="宋体"/>
          <w:sz w:val="24"/>
          <w:szCs w:val="21"/>
        </w:rPr>
        <w:t xml:space="preserve">必须对技术要求和商务要求中的实质性要求（加斜体下划线内容或打</w:t>
      </w:r>
      <w:r>
        <w:rPr>
          <w:rFonts w:eastAsia="宋体"/>
          <w:sz w:val="24"/>
          <w:szCs w:val="21"/>
        </w:rPr>
        <w:t xml:space="preserve">“</w:t>
      </w:r>
      <w:r>
        <w:rPr>
          <w:rFonts w:hint="eastAsia" w:ascii="宋体" w:hAnsi="宋体" w:eastAsia="宋体" w:cs="宋体"/>
          <w:sz w:val="24"/>
          <w:szCs w:val="21"/>
        </w:rPr>
        <w:t xml:space="preserve">★</w:t>
      </w:r>
      <w:r>
        <w:rPr>
          <w:rFonts w:eastAsia="宋体"/>
          <w:sz w:val="24"/>
          <w:szCs w:val="21"/>
        </w:rPr>
        <w:t xml:space="preserve">”</w:t>
      </w:r>
      <w:r>
        <w:rPr>
          <w:rFonts w:eastAsia="宋体"/>
          <w:sz w:val="24"/>
          <w:szCs w:val="21"/>
        </w:rPr>
        <w:t xml:space="preserve">内容）做出明确响应，否则作无效响应处理。</w:t>
      </w:r>
      <w:r/>
    </w:p>
    <w:p>
      <w:pPr>
        <w:spacing w:line="588" w:lineRule="exact"/>
        <w:rPr>
          <w:rFonts w:eastAsia="宋体"/>
          <w:sz w:val="24"/>
          <w:szCs w:val="21"/>
        </w:rPr>
      </w:pPr>
      <w:r>
        <w:rPr>
          <w:rFonts w:eastAsia="宋体"/>
          <w:sz w:val="24"/>
          <w:szCs w:val="21"/>
        </w:rPr>
        <w:t xml:space="preserve">2.</w:t>
      </w:r>
      <w:r>
        <w:rPr>
          <w:rFonts w:eastAsia="宋体"/>
          <w:sz w:val="24"/>
          <w:szCs w:val="21"/>
        </w:rPr>
        <w:t xml:space="preserve">如果采购文件要求提供证明材料，</w:t>
      </w:r>
      <w:r>
        <w:rPr>
          <w:rFonts w:hint="eastAsia" w:eastAsia="宋体"/>
          <w:sz w:val="24"/>
          <w:szCs w:val="21"/>
        </w:rPr>
        <w:t xml:space="preserve">投标人</w:t>
      </w:r>
      <w:r>
        <w:rPr>
          <w:rFonts w:eastAsia="宋体"/>
          <w:sz w:val="24"/>
          <w:szCs w:val="21"/>
        </w:rPr>
        <w:t xml:space="preserve">必须将证明材料列于该表之下。</w:t>
      </w:r>
      <w:r/>
    </w:p>
    <w:p>
      <w:pPr>
        <w:spacing w:line="588" w:lineRule="exact"/>
        <w:rPr>
          <w:rFonts w:eastAsia="宋体"/>
          <w:sz w:val="24"/>
          <w:szCs w:val="21"/>
        </w:rPr>
      </w:pPr>
      <w:r>
        <w:rPr>
          <w:rFonts w:eastAsia="宋体"/>
          <w:sz w:val="24"/>
          <w:szCs w:val="21"/>
        </w:rPr>
        <w:t xml:space="preserve">3.</w:t>
      </w:r>
      <w:r>
        <w:rPr>
          <w:rFonts w:hint="eastAsia" w:eastAsia="宋体"/>
          <w:sz w:val="24"/>
          <w:szCs w:val="21"/>
        </w:rPr>
        <w:t xml:space="preserve">投标人</w:t>
      </w:r>
      <w:r>
        <w:rPr>
          <w:rFonts w:eastAsia="宋体"/>
          <w:sz w:val="24"/>
          <w:szCs w:val="21"/>
        </w:rPr>
        <w:t xml:space="preserve">未对实质性要求</w:t>
      </w:r>
      <w:r>
        <w:rPr>
          <w:rFonts w:eastAsia="宋体"/>
          <w:sz w:val="24"/>
          <w:szCs w:val="21"/>
        </w:rPr>
        <w:t xml:space="preserve">作出</w:t>
      </w:r>
      <w:r>
        <w:rPr>
          <w:rFonts w:eastAsia="宋体"/>
          <w:sz w:val="24"/>
          <w:szCs w:val="21"/>
        </w:rPr>
        <w:t xml:space="preserve">明确响应的，或未按采购文件要求提供证明材料的，该分包作无效响应处理。</w:t>
      </w:r>
      <w:r/>
    </w:p>
    <w:p>
      <w:pPr>
        <w:spacing w:line="588" w:lineRule="exact"/>
        <w:rPr>
          <w:rFonts w:eastAsia="宋体"/>
          <w:sz w:val="24"/>
          <w:szCs w:val="21"/>
        </w:rPr>
      </w:pPr>
      <w:r>
        <w:rPr>
          <w:rFonts w:hint="eastAsia" w:eastAsia="宋体"/>
          <w:sz w:val="24"/>
          <w:szCs w:val="21"/>
        </w:rPr>
        <w:t xml:space="preserve">4.</w:t>
      </w:r>
      <w:r>
        <w:rPr>
          <w:rFonts w:hint="eastAsia" w:eastAsia="宋体"/>
          <w:sz w:val="24"/>
          <w:szCs w:val="21"/>
        </w:rPr>
        <w:t xml:space="preserve">行数不够，可自行添加。</w:t>
      </w:r>
      <w:r/>
    </w:p>
    <w:p>
      <w:pPr>
        <w:jc w:val="center"/>
        <w:rPr>
          <w:rFonts w:eastAsia="黑体"/>
          <w:b/>
          <w:sz w:val="36"/>
          <w:szCs w:val="21"/>
        </w:rPr>
      </w:pPr>
      <w:r>
        <w:rPr>
          <w:rFonts w:eastAsia="黑体"/>
          <w:b/>
          <w:sz w:val="36"/>
          <w:szCs w:val="21"/>
        </w:rPr>
      </w:r>
      <w:r/>
    </w:p>
    <w:p>
      <w:pPr>
        <w:pStyle w:val="781"/>
      </w:pPr>
      <w:r/>
      <w:r/>
    </w:p>
    <w:p>
      <w:r/>
      <w:r/>
    </w:p>
    <w:p>
      <w:pPr>
        <w:pStyle w:val="781"/>
      </w:pPr>
      <w:r/>
      <w:r/>
    </w:p>
    <w:p>
      <w:r/>
      <w:r/>
    </w:p>
    <w:p>
      <w:pPr>
        <w:pStyle w:val="781"/>
      </w:pPr>
      <w:r/>
      <w:r/>
    </w:p>
    <w:p>
      <w:pPr>
        <w:jc w:val="center"/>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商务要求响应及偏离表</w:t>
      </w:r>
      <w:r/>
    </w:p>
    <w:tbl>
      <w:tblPr>
        <w:tblW w:w="0" w:type="auto"/>
        <w:tblCellSpacing w:w="0" w:type="dxa"/>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widowControl/>
        <w:rPr>
          <w:rFonts w:eastAsia="黑体" w:cs="黑体"/>
          <w:b/>
          <w:sz w:val="32"/>
          <w:szCs w:val="24"/>
        </w:rPr>
        <w:outlineLvl w:val="1"/>
      </w:pPr>
      <w:r>
        <w:rPr>
          <w:rFonts w:eastAsia="黑体" w:cs="黑体"/>
          <w:b/>
          <w:sz w:val="32"/>
          <w:szCs w:val="24"/>
        </w:rPr>
      </w:r>
      <w:r/>
    </w:p>
    <w:p>
      <w:pPr>
        <w:jc w:val="left"/>
        <w:widowControl/>
        <w:rPr>
          <w:rFonts w:eastAsia="黑体" w:cs="黑体"/>
          <w:b/>
          <w:sz w:val="32"/>
          <w:szCs w:val="24"/>
        </w:rPr>
        <w:outlineLvl w:val="1"/>
      </w:pPr>
      <w:r>
        <w:rPr>
          <w:rFonts w:eastAsia="黑体" w:cs="黑体"/>
          <w:b/>
          <w:sz w:val="32"/>
          <w:szCs w:val="24"/>
        </w:rPr>
      </w:r>
      <w:r/>
    </w:p>
    <w:p>
      <w:pPr>
        <w:jc w:val="left"/>
        <w:widowControl/>
        <w:rPr>
          <w:rFonts w:eastAsia="黑体" w:cs="黑体"/>
          <w:b/>
          <w:sz w:val="32"/>
          <w:szCs w:val="24"/>
        </w:rPr>
        <w:outlineLvl w:val="1"/>
      </w:pPr>
      <w:r>
        <w:rPr>
          <w:rFonts w:eastAsia="黑体" w:cs="黑体"/>
          <w:b/>
          <w:sz w:val="32"/>
          <w:szCs w:val="24"/>
        </w:rPr>
      </w:r>
      <w:r/>
    </w:p>
    <w:p>
      <w:pPr>
        <w:pStyle w:val="781"/>
      </w:pPr>
      <w:r/>
      <w:r/>
    </w:p>
    <w:p>
      <w:r/>
      <w:r/>
    </w:p>
    <w:p>
      <w:pPr>
        <w:pStyle w:val="781"/>
      </w:pPr>
      <w:r/>
      <w:r/>
    </w:p>
    <w:p>
      <w:r/>
      <w:r/>
    </w:p>
    <w:p>
      <w:pPr>
        <w:pStyle w:val="781"/>
      </w:pPr>
      <w:r/>
      <w:r/>
    </w:p>
    <w:p>
      <w:r/>
      <w:r/>
    </w:p>
    <w:p>
      <w:pPr>
        <w:pStyle w:val="781"/>
      </w:pPr>
      <w:r/>
      <w:r/>
    </w:p>
    <w:p>
      <w:r/>
      <w:r/>
    </w:p>
    <w:p>
      <w:pPr>
        <w:pStyle w:val="781"/>
      </w:pPr>
      <w:r/>
      <w:r/>
    </w:p>
    <w:p>
      <w:pPr>
        <w:jc w:val="left"/>
        <w:widowControl/>
        <w:rPr>
          <w:rFonts w:eastAsia="黑体" w:cs="黑体"/>
          <w:b/>
          <w:sz w:val="32"/>
          <w:szCs w:val="24"/>
        </w:rPr>
        <w:outlineLvl w:val="1"/>
      </w:pPr>
      <w:r>
        <w:rPr>
          <w:rFonts w:hint="eastAsia" w:eastAsia="黑体" w:cs="黑体"/>
          <w:b/>
          <w:sz w:val="32"/>
          <w:szCs w:val="24"/>
        </w:rPr>
        <w:t xml:space="preserve">九、</w:t>
      </w:r>
      <w:r>
        <w:rPr>
          <w:rFonts w:eastAsia="黑体" w:cs="黑体"/>
          <w:b/>
          <w:sz w:val="32"/>
          <w:szCs w:val="24"/>
        </w:rPr>
        <w:t xml:space="preserve">项目组人员</w:t>
      </w:r>
      <w:r>
        <w:rPr>
          <w:rFonts w:hint="eastAsia" w:eastAsia="黑体" w:cs="黑体"/>
          <w:b/>
          <w:sz w:val="32"/>
          <w:szCs w:val="24"/>
        </w:rPr>
        <w:t xml:space="preserve">（如有）</w:t>
      </w:r>
      <w:r/>
    </w:p>
    <w:p>
      <w:pPr>
        <w:jc w:val="center"/>
        <w:spacing w:before="100" w:beforeAutospacing="1" w:after="100" w:afterAutospacing="1" w:line="600" w:lineRule="exact"/>
        <w:widowControl/>
        <w:rPr>
          <w:rFonts w:eastAsia="宋体" w:cs="宋体"/>
          <w:b/>
          <w:bCs/>
          <w:sz w:val="32"/>
          <w:szCs w:val="32"/>
        </w:rPr>
      </w:pPr>
      <w:r>
        <w:rPr>
          <w:rFonts w:hint="eastAsia" w:eastAsia="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宋体" w:cs="宋体"/>
                <w:sz w:val="20"/>
              </w:rPr>
            </w:pPr>
            <w:r>
              <w:rPr>
                <w:rFonts w:hint="eastAsia" w:eastAsia="仿宋_GB2312" w:cs="仿宋_GB2312"/>
                <w:sz w:val="28"/>
                <w:szCs w:val="28"/>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ind w:firstLine="398"/>
        <w:jc w:val="left"/>
        <w:spacing w:before="100" w:beforeAutospacing="1" w:after="100" w:afterAutospacing="1" w:line="460" w:lineRule="exact"/>
        <w:widowControl/>
        <w:rPr>
          <w:rFonts w:eastAsia="仿宋_GB2312" w:cs="仿宋_GB2312"/>
          <w:sz w:val="24"/>
          <w:szCs w:val="24"/>
        </w:rPr>
      </w:pPr>
      <w:r>
        <w:rPr>
          <w:rFonts w:eastAsia="仿宋_GB2312" w:cs="仿宋_GB2312"/>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500" w:lineRule="exact"/>
        <w:widowControl/>
        <w:rPr>
          <w:rFonts w:eastAsia="仿宋_GB2312" w:cs="仿宋_GB2312"/>
          <w:sz w:val="24"/>
          <w:szCs w:val="24"/>
        </w:rPr>
      </w:pPr>
      <w:r>
        <w:rPr>
          <w:rFonts w:eastAsia="仿宋_GB2312" w:cs="仿宋_GB2312"/>
          <w:sz w:val="24"/>
          <w:szCs w:val="24"/>
        </w:rPr>
      </w:r>
      <w:r/>
    </w:p>
    <w:p>
      <w:pPr>
        <w:spacing w:line="500" w:lineRule="exact"/>
        <w:rPr>
          <w:rFonts w:eastAsia="宋体"/>
          <w:sz w:val="21"/>
          <w:szCs w:val="24"/>
        </w:rPr>
      </w:pPr>
      <w:r>
        <w:rPr>
          <w:rFonts w:eastAsia="宋体"/>
          <w:sz w:val="21"/>
          <w:szCs w:val="24"/>
        </w:rPr>
        <w:br w:type="page" w:clear="all"/>
      </w:r>
      <w:bookmarkStart w:id="58" w:name="_Toc11176"/>
      <w:r>
        <w:rPr>
          <w:rFonts w:hint="eastAsia" w:eastAsia="黑体" w:cs="黑体"/>
          <w:b/>
          <w:sz w:val="32"/>
          <w:szCs w:val="24"/>
        </w:rPr>
        <w:t xml:space="preserve">十、</w:t>
      </w:r>
      <w:bookmarkEnd w:id="58"/>
      <w:r>
        <w:rPr>
          <w:rFonts w:hint="eastAsia" w:eastAsia="黑体" w:cs="黑体"/>
          <w:b/>
          <w:sz w:val="32"/>
          <w:szCs w:val="24"/>
        </w:rPr>
        <w:t xml:space="preserve">企业业绩（如有）</w:t>
      </w:r>
      <w:r/>
    </w:p>
    <w:p>
      <w:pPr>
        <w:jc w:val="center"/>
        <w:rPr>
          <w:rFonts w:eastAsia="宋体"/>
          <w:b/>
          <w:sz w:val="32"/>
          <w:szCs w:val="32"/>
        </w:rPr>
      </w:pPr>
      <w:r>
        <w:rPr>
          <w:rFonts w:hint="eastAsia" w:eastAsia="宋体"/>
          <w:b/>
          <w:sz w:val="32"/>
          <w:szCs w:val="32"/>
        </w:rPr>
        <w:t xml:space="preserve">投标人承担类似项目业绩一览表</w:t>
      </w:r>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25"/>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bl>
    <w:p>
      <w:pPr>
        <w:rPr>
          <w:rFonts w:eastAsia="宋体"/>
          <w:sz w:val="21"/>
          <w:szCs w:val="22"/>
        </w:rPr>
      </w:pPr>
      <w:r>
        <w:rPr>
          <w:rFonts w:hint="eastAsia" w:eastAsia="仿宋_GB2312"/>
          <w:b/>
          <w:sz w:val="24"/>
          <w:szCs w:val="22"/>
        </w:rPr>
        <w:t xml:space="preserve">注：请填写此表，并按要求上</w:t>
      </w:r>
      <w:r>
        <w:rPr>
          <w:rFonts w:hint="eastAsia" w:eastAsia="仿宋_GB2312"/>
          <w:b/>
          <w:sz w:val="24"/>
          <w:szCs w:val="22"/>
        </w:rPr>
        <w:t xml:space="preserve">传业绩</w:t>
      </w:r>
      <w:r>
        <w:rPr>
          <w:rFonts w:hint="eastAsia" w:eastAsia="仿宋_GB2312"/>
          <w:b/>
          <w:sz w:val="24"/>
          <w:szCs w:val="22"/>
        </w:rPr>
        <w:t xml:space="preserve">资料电子件。</w:t>
      </w:r>
      <w:r/>
    </w:p>
    <w:p>
      <w:pPr>
        <w:jc w:val="left"/>
        <w:widowControl/>
        <w:rPr>
          <w:rFonts w:eastAsia="黑体" w:cs="黑体"/>
          <w:b/>
          <w:sz w:val="32"/>
          <w:szCs w:val="24"/>
        </w:rPr>
        <w:outlineLvl w:val="1"/>
      </w:pPr>
      <w:r>
        <w:rPr>
          <w:rFonts w:eastAsia="黑体" w:cs="黑体"/>
          <w:b/>
          <w:sz w:val="32"/>
          <w:szCs w:val="24"/>
        </w:rPr>
        <w:br w:type="page" w:clear="all"/>
      </w:r>
      <w:bookmarkStart w:id="59" w:name="_Toc28140"/>
      <w:r>
        <w:rPr>
          <w:rFonts w:hint="eastAsia" w:eastAsia="黑体" w:cs="黑体"/>
          <w:b/>
          <w:sz w:val="32"/>
          <w:szCs w:val="24"/>
        </w:rPr>
        <w:t xml:space="preserve">十一</w:t>
      </w:r>
      <w:r>
        <w:rPr>
          <w:rFonts w:eastAsia="黑体" w:cs="黑体"/>
          <w:b/>
          <w:sz w:val="32"/>
          <w:szCs w:val="24"/>
        </w:rPr>
        <w:t xml:space="preserve">、投标所需其他材料</w:t>
      </w:r>
      <w:bookmarkEnd w:id="59"/>
      <w:r/>
      <w:r/>
    </w:p>
    <w:p>
      <w:pPr>
        <w:ind w:firstLine="560"/>
        <w:spacing w:line="360" w:lineRule="auto"/>
        <w:rPr>
          <w:rFonts w:eastAsia="仿宋_GB2312"/>
          <w:sz w:val="28"/>
          <w:szCs w:val="28"/>
        </w:rPr>
      </w:pPr>
      <w:r>
        <w:rPr>
          <w:rFonts w:hint="eastAsia" w:eastAsia="仿宋_GB2312"/>
          <w:sz w:val="28"/>
          <w:szCs w:val="28"/>
        </w:rPr>
        <w:t xml:space="preserve">请在此文档中增加投标所需其他相关内容（包括资格要求、评分办法、采购需求中涉及的证件证明及其它投标人认为有必要提供的资料），如没有请</w:t>
      </w:r>
      <w:r>
        <w:rPr>
          <w:rFonts w:hint="eastAsia" w:eastAsia="仿宋_GB2312"/>
          <w:sz w:val="28"/>
          <w:szCs w:val="28"/>
        </w:rPr>
        <w:t xml:space="preserve">将此空文档</w:t>
      </w:r>
      <w:r>
        <w:rPr>
          <w:rFonts w:hint="eastAsia" w:eastAsia="仿宋_GB2312"/>
          <w:sz w:val="28"/>
          <w:szCs w:val="28"/>
        </w:rPr>
        <w:t xml:space="preserve">上传。</w:t>
      </w:r>
      <w:r/>
    </w:p>
    <w:p>
      <w:pPr>
        <w:rPr>
          <w:rFonts w:eastAsia="宋体"/>
          <w:sz w:val="20"/>
          <w:szCs w:val="21"/>
        </w:rPr>
      </w:pPr>
      <w:r>
        <w:rPr>
          <w:rFonts w:hint="eastAsia" w:eastAsia="宋体"/>
          <w:sz w:val="20"/>
          <w:szCs w:val="21"/>
        </w:rPr>
        <w:t xml:space="preserve"> </w:t>
      </w:r>
      <w:r/>
    </w:p>
    <w:p>
      <w:pPr>
        <w:rPr>
          <w:rFonts w:eastAsia="宋体"/>
          <w:sz w:val="21"/>
          <w:szCs w:val="21"/>
        </w:rPr>
      </w:pPr>
      <w:r>
        <w:rPr>
          <w:rFonts w:eastAsia="宋体"/>
          <w:sz w:val="21"/>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bookmarkEnd w:id="54"/>
      <w:r/>
      <w:r/>
    </w:p>
    <w:p>
      <w:pPr>
        <w:spacing w:line="480" w:lineRule="auto"/>
        <w:rPr>
          <w:rFonts w:eastAsia="宋体"/>
          <w:sz w:val="24"/>
          <w:szCs w:val="21"/>
        </w:rPr>
      </w:pPr>
      <w:r>
        <w:rPr>
          <w:rFonts w:eastAsia="宋体"/>
          <w:sz w:val="24"/>
          <w:szCs w:val="21"/>
        </w:rPr>
      </w:r>
      <w:r/>
    </w:p>
    <w:p>
      <w:pPr>
        <w:spacing w:line="480" w:lineRule="auto"/>
        <w:rPr>
          <w:rFonts w:eastAsia="宋体"/>
          <w:sz w:val="30"/>
          <w:szCs w:val="21"/>
        </w:rPr>
      </w:pPr>
      <w:r>
        <w:rPr>
          <w:rFonts w:eastAsia="宋体"/>
          <w:sz w:val="30"/>
          <w:szCs w:val="21"/>
        </w:rPr>
      </w:r>
      <w:r/>
    </w:p>
    <w:p>
      <w:pPr>
        <w:rPr>
          <w:rFonts w:eastAsia="宋体"/>
          <w:sz w:val="24"/>
          <w:szCs w:val="21"/>
        </w:rPr>
      </w:pPr>
      <w:r/>
      <w:bookmarkStart w:id="60" w:name="_Hlt26671374"/>
      <w:r/>
      <w:bookmarkStart w:id="61" w:name="_Hlt26955066"/>
      <w:r/>
      <w:bookmarkStart w:id="62" w:name="_Hlt26609389"/>
      <w:r/>
      <w:bookmarkStart w:id="63" w:name="_Toc462564146"/>
      <w:r/>
      <w:bookmarkEnd w:id="60"/>
      <w:r/>
      <w:bookmarkEnd w:id="61"/>
      <w:r/>
      <w:bookmarkEnd w:id="62"/>
      <w:r/>
      <w:r/>
    </w:p>
    <w:p>
      <w:pPr>
        <w:rPr>
          <w:rFonts w:eastAsia="宋体"/>
          <w:sz w:val="24"/>
          <w:szCs w:val="21"/>
        </w:rPr>
      </w:pPr>
      <w:r>
        <w:rPr>
          <w:rFonts w:eastAsia="宋体"/>
          <w:sz w:val="24"/>
          <w:szCs w:val="21"/>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rPr>
          <w:rFonts w:eastAsia="黑体"/>
          <w:b/>
          <w:sz w:val="32"/>
          <w:szCs w:val="32"/>
        </w:rPr>
      </w:pPr>
      <w:r/>
      <w:bookmarkStart w:id="64" w:name="_格式2__法定代表人授权书"/>
      <w:r/>
      <w:bookmarkEnd w:id="63"/>
      <w:r/>
      <w:bookmarkEnd w:id="64"/>
      <w:r/>
      <w:r/>
    </w:p>
    <w:p>
      <w:pPr>
        <w:rPr>
          <w:rFonts w:eastAsia="黑体"/>
          <w:b/>
          <w:sz w:val="32"/>
          <w:szCs w:val="32"/>
        </w:rPr>
      </w:pPr>
      <w:r>
        <w:rPr>
          <w:rFonts w:eastAsia="黑体"/>
          <w:b/>
          <w:sz w:val="32"/>
          <w:szCs w:val="32"/>
        </w:rPr>
      </w:r>
      <w:r/>
    </w:p>
    <w:p>
      <w:pPr>
        <w:jc w:val="center"/>
        <w:rPr>
          <w:rFonts w:eastAsia="宋体" w:cs="仿宋"/>
          <w:b/>
          <w:bCs/>
          <w:sz w:val="32"/>
          <w:szCs w:val="32"/>
        </w:rPr>
      </w:pPr>
      <w:r>
        <w:rPr>
          <w:rFonts w:eastAsia="宋体" w:cs="仿宋"/>
          <w:b/>
          <w:bCs/>
          <w:sz w:val="32"/>
          <w:szCs w:val="32"/>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ajorEastAsia" w:hAnsiTheme="majorEastAsia" w:eastAsiaTheme="majorEastAsia"/>
          <w:sz w:val="32"/>
          <w:szCs w:val="32"/>
        </w:rPr>
      </w:pPr>
      <w:r>
        <w:rPr>
          <w:rFonts w:hint="eastAsia" w:asciiTheme="majorEastAsia" w:hAnsiTheme="majorEastAsia" w:eastAsiaTheme="majorEastAsia"/>
          <w:sz w:val="32"/>
          <w:szCs w:val="32"/>
        </w:rPr>
        <w:t xml:space="preserve">十二、资格证明文件（参考格式）</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（说明：投标人须按“招标公告”的要求，并按下列格式提供相应的资格证明文件）　　</w:t>
      </w:r>
      <w:r>
        <w:rPr>
          <w:rFonts w:hint="eastAsia" w:asciiTheme="minorEastAsia" w:hAnsiTheme="minorEastAsia" w:eastAsiaTheme="minorEastAsia"/>
          <w:sz w:val="24"/>
          <w:szCs w:val="24"/>
        </w:rPr>
        <w:t xml:space="preserve">　</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w:t>
      </w:r>
      <w:r>
        <w:rPr>
          <w:rFonts w:hint="eastAsia" w:asciiTheme="minorEastAsia" w:hAnsiTheme="minorEastAsia" w:eastAsiaTheme="minorEastAsia"/>
          <w:sz w:val="24"/>
          <w:szCs w:val="24"/>
        </w:rPr>
        <w:t xml:space="preserve">一</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法人或者其他组织的营业执照等证明文件，自然人的身份证明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rPr>
          <w:rFonts w:asciiTheme="minorEastAsia" w:hAnsiTheme="minorEastAsia" w:eastAsiaTheme="minorEastAsia"/>
          <w:sz w:val="24"/>
          <w:szCs w:val="24"/>
        </w:rPr>
        <w:t xml:space="preserve">依法缴纳税收和社会保障资金的相关材料</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格式四：具备履行合同所必需的设备和专业技术能力的书面声明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asciiTheme="minorEastAsia" w:hAnsiTheme="minorEastAsia" w:eastAsiaTheme="minorEastAsia"/>
          <w:sz w:val="24"/>
          <w:szCs w:val="24"/>
        </w:rPr>
        <w:t xml:space="preserve">参加政府采购活动前3年内在经营活动中没有重大违法记录的书面声明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格式六：投标人</w:t>
      </w:r>
      <w:r>
        <w:rPr>
          <w:rFonts w:asciiTheme="minorEastAsia" w:hAnsiTheme="minorEastAsia" w:eastAsiaTheme="minorEastAsia"/>
          <w:sz w:val="24"/>
          <w:szCs w:val="24"/>
        </w:rPr>
        <w:t xml:space="preserve">及</w:t>
      </w:r>
      <w:r>
        <w:rPr>
          <w:rFonts w:hint="eastAsia" w:asciiTheme="minorEastAsia" w:hAnsiTheme="minorEastAsia" w:eastAsiaTheme="minorEastAsia"/>
          <w:sz w:val="24"/>
          <w:szCs w:val="24"/>
        </w:rPr>
        <w:t xml:space="preserve">投标产品（货物/</w:t>
      </w:r>
      <w:r>
        <w:rPr>
          <w:rFonts w:asciiTheme="minorEastAsia" w:hAnsiTheme="minorEastAsia" w:eastAsiaTheme="minorEastAsia"/>
          <w:sz w:val="24"/>
          <w:szCs w:val="24"/>
        </w:rPr>
        <w:t xml:space="preserve">服务</w:t>
      </w:r>
      <w:r>
        <w:rPr>
          <w:rFonts w:hint="eastAsia" w:asciiTheme="minorEastAsia" w:hAnsiTheme="minorEastAsia" w:eastAsiaTheme="minorEastAsia"/>
          <w:sz w:val="24"/>
          <w:szCs w:val="24"/>
        </w:rPr>
        <w:t xml:space="preserve">）资质证书（复印件）</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格式七</w:t>
      </w:r>
      <w:r>
        <w:rPr>
          <w:rFonts w:hint="eastAsia" w:asciiTheme="minorEastAsia" w:hAnsiTheme="minorEastAsia" w:eastAsiaTheme="minorEastAsia"/>
          <w:sz w:val="24"/>
          <w:szCs w:val="24"/>
        </w:rPr>
        <w:t xml:space="preserve">*****（本项目要求的其他资格条件）</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法人或者其他组织的营业执照等证明文件，自然人的身份证明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5"/>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37"/>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71"/>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3"/>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4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1"/>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1"/>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6"/>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（流动资产/流动负债）</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（速动资产/流动负债）</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9"/>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（总负债/总资产）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（收入总额/平均应收账款）</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（销售成本/平均存货）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（净利润/平均净资产）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依法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缴纳税收” 和</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社会保障资金”的相关材料</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提供投标人参加本次政府采购活动前6个月内至少一个月缴纳税收及缴纳社会保障资金的证明材料。投标人依法享受缓缴、免缴税收、社会保障资金的提供证明材料；</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具备履行合同所必需的设备和专业技术能力的书面声明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我单位郑重声明：我单位具备履行本项采购合同所必需的设备和专业技术能力，为履行本项采购合同我公司具备如下主要设备和主要专业技术能力：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主要设备有：。</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主要专业技术能力有：。</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 __年月日</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参加政府采购活动前 3 年内在经营活动中没有重大违法记录的书面声明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声  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日期：___年月日</w:t>
      </w:r>
      <w:r/>
    </w:p>
    <w:p>
      <w:r/>
      <w:r/>
    </w:p>
    <w:p>
      <w:r/>
      <w:r/>
    </w:p>
    <w:p>
      <w:r/>
      <w:r/>
    </w:p>
    <w:p>
      <w:r/>
      <w:r/>
    </w:p>
    <w:p>
      <w:r/>
      <w:r/>
    </w:p>
    <w:p>
      <w:r/>
      <w:r/>
    </w:p>
    <w:p>
      <w:r/>
      <w:r/>
    </w:p>
    <w:p>
      <w:r/>
      <w:r/>
    </w:p>
    <w:p>
      <w:r/>
      <w:r/>
    </w:p>
    <w:p>
      <w:r/>
      <w:r/>
    </w:p>
    <w:p>
      <w:r/>
      <w:r/>
    </w:p>
    <w:p>
      <w:r/>
      <w:r/>
    </w:p>
    <w:p>
      <w:r/>
      <w:r/>
    </w:p>
    <w:p>
      <w:r/>
      <w:r/>
    </w:p>
    <w:p>
      <w:r>
        <w:br w:type="page" w:clear="all"/>
      </w:r>
      <w:r/>
    </w:p>
    <w:p>
      <w:r>
        <w:rPr>
          <w:rFonts w:hint="eastAsia"/>
        </w:rPr>
        <w:t xml:space="preserve">格式六</w:t>
      </w:r>
      <w:r/>
    </w:p>
    <w:p>
      <w:r>
        <w:rPr>
          <w:rFonts w:hint="eastAsia"/>
        </w:rPr>
        <w:t xml:space="preserve">资质证书（复印件）</w:t>
      </w:r>
      <w:r/>
    </w:p>
    <w:p>
      <w:pPr>
        <w:jc w:val="center"/>
      </w:pPr>
      <w:r/>
      <w:r/>
    </w:p>
    <w:p>
      <w:pPr>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sectPr>
      <w:footnotePr/>
      <w:endnotePr/>
      <w:type w:val="nextPage"/>
      <w:pgSz w:w="11906" w:h="16838" w:orient="portrait"/>
      <w:pgMar w:top="1440" w:right="1274" w:bottom="1440" w:left="1701" w:header="851" w:footer="992" w:gutter="0"/>
      <w:pgNumType w:start="47"/>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等线">
    <w:panose1 w:val="02010600030101010101"/>
  </w:font>
  <w:font w:name="仿宋">
    <w:panose1 w:val="02010609060101010101"/>
  </w:font>
  <w:font w:name="Cambria">
    <w:panose1 w:val="020405030504060302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2608854"/>
      <w:rPr/>
    </w:sdtPr>
    <w:sdtContent>
      <w:p>
        <w:pPr>
          <w:pStyle w:val="790"/>
          <w:jc w:val="center"/>
        </w:pPr>
        <w:r>
          <w:fldChar w:fldCharType="begin"/>
        </w:r>
        <w:r>
          <w:instrText xml:space="preserve">PAGE   \* MERGEFORMAT</w:instrText>
        </w:r>
        <w:r>
          <w:fldChar w:fldCharType="separate"/>
        </w:r>
        <w:r>
          <w:rPr>
            <w:lang w:val="zh-CN"/>
          </w:rPr>
          <w:t xml:space="preserve">31</w:t>
        </w:r>
        <w:r>
          <w:fldChar w:fldCharType="end"/>
        </w:r>
        <w:r/>
      </w:p>
    </w:sdtContent>
  </w:sdt>
  <w:p>
    <w:pPr>
      <w:pStyle w:val="9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a:effectLst/>
                    </wps:spPr>
                    <wps:txbx>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5">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5"/>
  </w:num>
  <w:num w:numId="5">
    <w:abstractNumId w:val="1"/>
  </w:num>
  <w:num w:numId="6">
    <w:abstractNumId w:val="3"/>
  </w:num>
  <w:num w:numId="7">
    <w:abstractNumId w:val="2"/>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8">
    <w:name w:val="Heading 1 Char"/>
    <w:basedOn w:val="774"/>
    <w:link w:val="765"/>
    <w:uiPriority w:val="9"/>
    <w:rPr>
      <w:rFonts w:ascii="Arial" w:hAnsi="Arial" w:eastAsia="Arial" w:cs="Arial"/>
      <w:sz w:val="40"/>
      <w:szCs w:val="40"/>
    </w:rPr>
  </w:style>
  <w:style w:type="character" w:styleId="729">
    <w:name w:val="Heading 2 Char"/>
    <w:basedOn w:val="774"/>
    <w:link w:val="766"/>
    <w:uiPriority w:val="9"/>
    <w:rPr>
      <w:rFonts w:ascii="Arial" w:hAnsi="Arial" w:eastAsia="Arial" w:cs="Arial"/>
      <w:sz w:val="34"/>
    </w:rPr>
  </w:style>
  <w:style w:type="character" w:styleId="730">
    <w:name w:val="Heading 3 Char"/>
    <w:basedOn w:val="774"/>
    <w:link w:val="767"/>
    <w:uiPriority w:val="9"/>
    <w:rPr>
      <w:rFonts w:ascii="Arial" w:hAnsi="Arial" w:eastAsia="Arial" w:cs="Arial"/>
      <w:sz w:val="30"/>
      <w:szCs w:val="30"/>
    </w:rPr>
  </w:style>
  <w:style w:type="character" w:styleId="731">
    <w:name w:val="Heading 4 Char"/>
    <w:basedOn w:val="774"/>
    <w:link w:val="768"/>
    <w:uiPriority w:val="9"/>
    <w:rPr>
      <w:rFonts w:ascii="Arial" w:hAnsi="Arial" w:eastAsia="Arial" w:cs="Arial"/>
      <w:b/>
      <w:bCs/>
      <w:sz w:val="26"/>
      <w:szCs w:val="26"/>
    </w:rPr>
  </w:style>
  <w:style w:type="character" w:styleId="732">
    <w:name w:val="Heading 5 Char"/>
    <w:basedOn w:val="774"/>
    <w:link w:val="769"/>
    <w:uiPriority w:val="9"/>
    <w:rPr>
      <w:rFonts w:ascii="Arial" w:hAnsi="Arial" w:eastAsia="Arial" w:cs="Arial"/>
      <w:b/>
      <w:bCs/>
      <w:sz w:val="24"/>
      <w:szCs w:val="24"/>
    </w:rPr>
  </w:style>
  <w:style w:type="character" w:styleId="733">
    <w:name w:val="Heading 6 Char"/>
    <w:basedOn w:val="774"/>
    <w:link w:val="770"/>
    <w:uiPriority w:val="9"/>
    <w:rPr>
      <w:rFonts w:ascii="Arial" w:hAnsi="Arial" w:eastAsia="Arial" w:cs="Arial"/>
      <w:b/>
      <w:bCs/>
      <w:sz w:val="22"/>
      <w:szCs w:val="22"/>
    </w:rPr>
  </w:style>
  <w:style w:type="character" w:styleId="734">
    <w:name w:val="Heading 7 Char"/>
    <w:basedOn w:val="774"/>
    <w:link w:val="771"/>
    <w:uiPriority w:val="9"/>
    <w:rPr>
      <w:rFonts w:ascii="Arial" w:hAnsi="Arial" w:eastAsia="Arial" w:cs="Arial"/>
      <w:b/>
      <w:bCs/>
      <w:i/>
      <w:iCs/>
      <w:sz w:val="22"/>
      <w:szCs w:val="22"/>
    </w:rPr>
  </w:style>
  <w:style w:type="character" w:styleId="735">
    <w:name w:val="Heading 8 Char"/>
    <w:basedOn w:val="774"/>
    <w:link w:val="772"/>
    <w:uiPriority w:val="9"/>
    <w:rPr>
      <w:rFonts w:ascii="Arial" w:hAnsi="Arial" w:eastAsia="Arial" w:cs="Arial"/>
      <w:i/>
      <w:iCs/>
      <w:sz w:val="22"/>
      <w:szCs w:val="22"/>
    </w:rPr>
  </w:style>
  <w:style w:type="character" w:styleId="736">
    <w:name w:val="Heading 9 Char"/>
    <w:basedOn w:val="774"/>
    <w:link w:val="773"/>
    <w:uiPriority w:val="9"/>
    <w:rPr>
      <w:rFonts w:ascii="Arial" w:hAnsi="Arial" w:eastAsia="Arial" w:cs="Arial"/>
      <w:i/>
      <w:iCs/>
      <w:sz w:val="21"/>
      <w:szCs w:val="21"/>
    </w:rPr>
  </w:style>
  <w:style w:type="character" w:styleId="737">
    <w:name w:val="Title Char"/>
    <w:basedOn w:val="774"/>
    <w:link w:val="804"/>
    <w:uiPriority w:val="10"/>
    <w:rPr>
      <w:sz w:val="48"/>
      <w:szCs w:val="48"/>
    </w:rPr>
  </w:style>
  <w:style w:type="character" w:styleId="738">
    <w:name w:val="Subtitle Char"/>
    <w:basedOn w:val="774"/>
    <w:link w:val="797"/>
    <w:uiPriority w:val="11"/>
    <w:rPr>
      <w:sz w:val="24"/>
      <w:szCs w:val="24"/>
    </w:rPr>
  </w:style>
  <w:style w:type="character" w:styleId="739">
    <w:name w:val="Quote Char"/>
    <w:link w:val="827"/>
    <w:uiPriority w:val="29"/>
    <w:rPr>
      <w:i/>
    </w:rPr>
  </w:style>
  <w:style w:type="character" w:styleId="740">
    <w:name w:val="Intense Quote Char"/>
    <w:link w:val="829"/>
    <w:uiPriority w:val="30"/>
    <w:rPr>
      <w:i/>
    </w:rPr>
  </w:style>
  <w:style w:type="character" w:styleId="741">
    <w:name w:val="Caption Char"/>
    <w:basedOn w:val="779"/>
    <w:link w:val="790"/>
    <w:uiPriority w:val="99"/>
  </w:style>
  <w:style w:type="table" w:styleId="742">
    <w:name w:val="Plain Table 1"/>
    <w:basedOn w:val="7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7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7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2"/>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3"/>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7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5 Dark"/>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6 Colorful"/>
    <w:basedOn w:val="7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7 Colorful"/>
    <w:basedOn w:val="7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List Table 1 Light"/>
    <w:basedOn w:val="7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2"/>
    <w:basedOn w:val="7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3"/>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4"/>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5 Dark"/>
    <w:basedOn w:val="7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basedOn w:val="7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7 Colorful"/>
    <w:basedOn w:val="7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1">
    <w:name w:val="Footnote Text Char"/>
    <w:link w:val="798"/>
    <w:uiPriority w:val="99"/>
    <w:rPr>
      <w:sz w:val="18"/>
    </w:rPr>
  </w:style>
  <w:style w:type="character" w:styleId="762">
    <w:name w:val="Endnote Text Char"/>
    <w:link w:val="788"/>
    <w:uiPriority w:val="99"/>
    <w:rPr>
      <w:sz w:val="20"/>
    </w:rPr>
  </w:style>
  <w:style w:type="paragraph" w:styleId="763">
    <w:name w:val="TOC Heading"/>
    <w:uiPriority w:val="39"/>
    <w:unhideWhenUsed/>
  </w:style>
  <w:style w:type="paragraph" w:styleId="764" w:default="1">
    <w:name w:val="Normal"/>
    <w:qFormat/>
    <w:pPr>
      <w:jc w:val="both"/>
      <w:widowControl w:val="off"/>
    </w:pPr>
    <w:rPr>
      <w:rFonts w:eastAsia="楷体_GB2312"/>
      <w:sz w:val="26"/>
    </w:rPr>
  </w:style>
  <w:style w:type="paragraph" w:styleId="765">
    <w:name w:val="Heading 1"/>
    <w:basedOn w:val="764"/>
    <w:next w:val="764"/>
    <w:link w:val="814"/>
    <w:qFormat/>
    <w:pPr>
      <w:jc w:val="center"/>
      <w:keepLines/>
      <w:keepNext/>
      <w:spacing w:line="360" w:lineRule="auto"/>
      <w:outlineLvl w:val="0"/>
    </w:pPr>
    <w:rPr>
      <w:rFonts w:eastAsia="宋体"/>
      <w:b/>
      <w:sz w:val="32"/>
    </w:rPr>
  </w:style>
  <w:style w:type="paragraph" w:styleId="766">
    <w:name w:val="Heading 2"/>
    <w:basedOn w:val="764"/>
    <w:next w:val="764"/>
    <w:link w:val="815"/>
    <w:uiPriority w:val="9"/>
    <w:unhideWhenUsed/>
    <w:qFormat/>
    <w:pPr>
      <w:keepLines/>
      <w:keepNext/>
      <w:spacing w:before="360" w:after="200"/>
      <w:outlineLvl w:val="1"/>
    </w:pPr>
    <w:rPr>
      <w:rFonts w:ascii="Arial" w:hAnsi="Arial" w:eastAsia="Arial" w:cs="Arial"/>
      <w:sz w:val="34"/>
    </w:rPr>
  </w:style>
  <w:style w:type="paragraph" w:styleId="767">
    <w:name w:val="Heading 3"/>
    <w:basedOn w:val="764"/>
    <w:next w:val="764"/>
    <w:link w:val="816"/>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764"/>
    <w:next w:val="764"/>
    <w:link w:val="817"/>
    <w:uiPriority w:val="9"/>
    <w:unhideWhenUsed/>
    <w:qFormat/>
    <w:pPr>
      <w:keepLines/>
      <w:keepNext/>
      <w:spacing w:before="320" w:after="200"/>
      <w:outlineLvl w:val="3"/>
    </w:pPr>
    <w:rPr>
      <w:rFonts w:ascii="Arial" w:hAnsi="Arial" w:eastAsia="Arial" w:cs="Arial"/>
      <w:b/>
      <w:bCs/>
      <w:szCs w:val="26"/>
    </w:rPr>
  </w:style>
  <w:style w:type="paragraph" w:styleId="769">
    <w:name w:val="Heading 5"/>
    <w:basedOn w:val="764"/>
    <w:next w:val="764"/>
    <w:link w:val="818"/>
    <w:uiPriority w:val="9"/>
    <w:unhideWhenUsed/>
    <w:qFormat/>
    <w:pPr>
      <w:keepLines/>
      <w:keepNext/>
      <w:spacing w:before="320" w:after="200"/>
      <w:outlineLvl w:val="4"/>
    </w:pPr>
    <w:rPr>
      <w:rFonts w:ascii="Arial" w:hAnsi="Arial" w:eastAsia="Arial" w:cs="Arial"/>
      <w:b/>
      <w:bCs/>
      <w:sz w:val="24"/>
      <w:szCs w:val="24"/>
    </w:rPr>
  </w:style>
  <w:style w:type="paragraph" w:styleId="770">
    <w:name w:val="Heading 6"/>
    <w:basedOn w:val="764"/>
    <w:next w:val="764"/>
    <w:link w:val="819"/>
    <w:uiPriority w:val="9"/>
    <w:unhideWhenUsed/>
    <w:qFormat/>
    <w:pPr>
      <w:keepLines/>
      <w:keepNext/>
      <w:spacing w:before="320" w:after="200"/>
      <w:outlineLvl w:val="5"/>
    </w:pPr>
    <w:rPr>
      <w:rFonts w:ascii="Arial" w:hAnsi="Arial" w:eastAsia="Arial" w:cs="Arial"/>
      <w:b/>
      <w:bCs/>
      <w:sz w:val="22"/>
      <w:szCs w:val="22"/>
    </w:rPr>
  </w:style>
  <w:style w:type="paragraph" w:styleId="771">
    <w:name w:val="Heading 7"/>
    <w:basedOn w:val="764"/>
    <w:next w:val="764"/>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772">
    <w:name w:val="Heading 8"/>
    <w:basedOn w:val="764"/>
    <w:next w:val="764"/>
    <w:link w:val="821"/>
    <w:uiPriority w:val="9"/>
    <w:unhideWhenUsed/>
    <w:qFormat/>
    <w:pPr>
      <w:keepLines/>
      <w:keepNext/>
      <w:spacing w:before="320" w:after="200"/>
      <w:outlineLvl w:val="7"/>
    </w:pPr>
    <w:rPr>
      <w:rFonts w:ascii="Arial" w:hAnsi="Arial" w:eastAsia="Arial" w:cs="Arial"/>
      <w:i/>
      <w:iCs/>
      <w:sz w:val="22"/>
      <w:szCs w:val="22"/>
    </w:rPr>
  </w:style>
  <w:style w:type="paragraph" w:styleId="773">
    <w:name w:val="Heading 9"/>
    <w:basedOn w:val="764"/>
    <w:next w:val="764"/>
    <w:link w:val="822"/>
    <w:uiPriority w:val="9"/>
    <w:unhideWhenUsed/>
    <w:qFormat/>
    <w:pPr>
      <w:keepLines/>
      <w:keepNext/>
      <w:spacing w:before="320" w:after="200"/>
      <w:outlineLvl w:val="8"/>
    </w:pPr>
    <w:rPr>
      <w:rFonts w:ascii="Arial" w:hAnsi="Arial" w:eastAsia="Arial" w:cs="Arial"/>
      <w:i/>
      <w:iCs/>
      <w:sz w:val="21"/>
      <w:szCs w:val="21"/>
    </w:rPr>
  </w:style>
  <w:style w:type="character" w:styleId="774" w:default="1">
    <w:name w:val="Default Paragraph Font"/>
    <w:uiPriority w:val="1"/>
    <w:semiHidden/>
    <w:unhideWhenUsed/>
  </w:style>
  <w:style w:type="table" w:styleId="775" w:default="1">
    <w:name w:val="Normal Table"/>
    <w:uiPriority w:val="99"/>
    <w:semiHidden/>
    <w:unhideWhenUsed/>
    <w:tblPr>
      <w:tblInd w:w="0" w:type="dxa"/>
      <w:tblCellMar>
        <w:left w:w="108" w:type="dxa"/>
        <w:top w:w="0" w:type="dxa"/>
        <w:right w:w="108" w:type="dxa"/>
        <w:bottom w:w="0" w:type="dxa"/>
      </w:tblCellMar>
    </w:tblPr>
  </w:style>
  <w:style w:type="numbering" w:styleId="776" w:default="1">
    <w:name w:val="No List"/>
    <w:uiPriority w:val="99"/>
    <w:semiHidden/>
    <w:unhideWhenUsed/>
  </w:style>
  <w:style w:type="paragraph" w:styleId="777">
    <w:name w:val="toc 7"/>
    <w:basedOn w:val="764"/>
    <w:next w:val="764"/>
    <w:uiPriority w:val="39"/>
    <w:unhideWhenUsed/>
    <w:qFormat/>
    <w:pPr>
      <w:ind w:left="1701"/>
      <w:spacing w:after="57"/>
    </w:pPr>
  </w:style>
  <w:style w:type="paragraph" w:styleId="778">
    <w:name w:val="Normal Indent"/>
    <w:basedOn w:val="764"/>
    <w:next w:val="764"/>
    <w:qFormat/>
    <w:pPr>
      <w:ind w:firstLine="200"/>
    </w:pPr>
  </w:style>
  <w:style w:type="paragraph" w:styleId="779">
    <w:name w:val="Caption"/>
    <w:basedOn w:val="764"/>
    <w:next w:val="764"/>
    <w:uiPriority w:val="35"/>
    <w:semiHidden/>
    <w:unhideWhenUsed/>
    <w:qFormat/>
    <w:pPr>
      <w:spacing w:line="276" w:lineRule="auto"/>
    </w:pPr>
    <w:rPr>
      <w:b/>
      <w:bCs/>
      <w:color w:val="4f81bd"/>
      <w:sz w:val="18"/>
      <w:szCs w:val="18"/>
    </w:rPr>
  </w:style>
  <w:style w:type="paragraph" w:styleId="780">
    <w:name w:val="annotation text"/>
    <w:basedOn w:val="764"/>
    <w:link w:val="996"/>
    <w:uiPriority w:val="99"/>
    <w:semiHidden/>
    <w:unhideWhenUsed/>
    <w:qFormat/>
    <w:pPr>
      <w:jc w:val="left"/>
    </w:pPr>
  </w:style>
  <w:style w:type="paragraph" w:styleId="781">
    <w:name w:val="Body Text"/>
    <w:basedOn w:val="764"/>
    <w:qFormat/>
    <w:rPr>
      <w:rFonts w:ascii="楷体_GB2312" w:hAnsi="Arial"/>
      <w:sz w:val="28"/>
    </w:rPr>
  </w:style>
  <w:style w:type="paragraph" w:styleId="782">
    <w:name w:val="Body Text Indent"/>
    <w:basedOn w:val="764"/>
    <w:next w:val="764"/>
    <w:qFormat/>
    <w:pPr>
      <w:ind w:firstLine="645"/>
    </w:pPr>
    <w:rPr>
      <w:rFonts w:ascii="楷体_GB2312" w:hAnsi="Calibri"/>
      <w:sz w:val="32"/>
      <w:szCs w:val="22"/>
    </w:rPr>
  </w:style>
  <w:style w:type="paragraph" w:styleId="783">
    <w:name w:val="Block Text"/>
    <w:basedOn w:val="764"/>
    <w:qFormat/>
    <w:pPr>
      <w:ind w:left="525" w:right="-1" w:firstLine="525"/>
      <w:spacing w:line="312" w:lineRule="atLeast"/>
    </w:pPr>
    <w:rPr>
      <w:sz w:val="28"/>
      <w:szCs w:val="28"/>
    </w:rPr>
  </w:style>
  <w:style w:type="paragraph" w:styleId="784">
    <w:name w:val="toc 5"/>
    <w:basedOn w:val="764"/>
    <w:next w:val="764"/>
    <w:uiPriority w:val="39"/>
    <w:unhideWhenUsed/>
    <w:qFormat/>
    <w:pPr>
      <w:ind w:left="1134"/>
      <w:spacing w:after="57"/>
    </w:pPr>
  </w:style>
  <w:style w:type="paragraph" w:styleId="785">
    <w:name w:val="toc 3"/>
    <w:basedOn w:val="764"/>
    <w:next w:val="764"/>
    <w:uiPriority w:val="39"/>
    <w:unhideWhenUsed/>
    <w:qFormat/>
    <w:pPr>
      <w:ind w:left="567"/>
      <w:spacing w:after="57"/>
    </w:pPr>
  </w:style>
  <w:style w:type="paragraph" w:styleId="786">
    <w:name w:val="Plain Text"/>
    <w:basedOn w:val="764"/>
    <w:next w:val="778"/>
    <w:qFormat/>
    <w:rPr>
      <w:rFonts w:ascii="宋体"/>
    </w:rPr>
  </w:style>
  <w:style w:type="paragraph" w:styleId="787">
    <w:name w:val="toc 8"/>
    <w:basedOn w:val="764"/>
    <w:next w:val="764"/>
    <w:uiPriority w:val="39"/>
    <w:unhideWhenUsed/>
    <w:qFormat/>
    <w:pPr>
      <w:ind w:left="1984"/>
      <w:spacing w:after="57"/>
    </w:pPr>
  </w:style>
  <w:style w:type="paragraph" w:styleId="788">
    <w:name w:val="endnote text"/>
    <w:basedOn w:val="764"/>
    <w:link w:val="960"/>
    <w:uiPriority w:val="99"/>
    <w:semiHidden/>
    <w:unhideWhenUsed/>
    <w:qFormat/>
    <w:rPr>
      <w:sz w:val="20"/>
    </w:rPr>
  </w:style>
  <w:style w:type="paragraph" w:styleId="789">
    <w:name w:val="Balloon Text"/>
    <w:basedOn w:val="764"/>
    <w:link w:val="992"/>
    <w:uiPriority w:val="99"/>
    <w:semiHidden/>
    <w:unhideWhenUsed/>
    <w:qFormat/>
    <w:rPr>
      <w:sz w:val="18"/>
      <w:szCs w:val="18"/>
    </w:rPr>
  </w:style>
  <w:style w:type="paragraph" w:styleId="790">
    <w:name w:val="Footer"/>
    <w:basedOn w:val="764"/>
    <w:link w:val="833"/>
    <w:uiPriority w:val="99"/>
    <w:unhideWhenUsed/>
    <w:qFormat/>
    <w:pPr>
      <w:tabs>
        <w:tab w:val="center" w:pos="7143" w:leader="none"/>
        <w:tab w:val="right" w:pos="14287" w:leader="none"/>
      </w:tabs>
    </w:pPr>
  </w:style>
  <w:style w:type="paragraph" w:styleId="791">
    <w:name w:val="envelope return"/>
    <w:basedOn w:val="792"/>
    <w:uiPriority w:val="99"/>
    <w:unhideWhenUsed/>
    <w:qFormat/>
    <w:rPr>
      <w:rFonts w:ascii="Arial" w:hAnsi="Arial"/>
    </w:rPr>
  </w:style>
  <w:style w:type="paragraph" w:styleId="792" w:customStyle="1">
    <w:name w:val="Normal_19"/>
    <w:next w:val="793"/>
    <w:qFormat/>
    <w:pPr>
      <w:jc w:val="both"/>
      <w:widowControl w:val="off"/>
    </w:pPr>
    <w:rPr>
      <w:sz w:val="21"/>
      <w:szCs w:val="24"/>
    </w:rPr>
  </w:style>
  <w:style w:type="paragraph" w:styleId="793" w:customStyle="1">
    <w:name w:val="正文文本缩进1"/>
    <w:basedOn w:val="764"/>
    <w:next w:val="791"/>
    <w:unhideWhenUsed/>
    <w:qFormat/>
    <w:pPr>
      <w:ind w:firstLine="570"/>
    </w:pPr>
    <w:rPr>
      <w:rFonts w:ascii="宋体" w:eastAsia="宋体"/>
      <w:sz w:val="28"/>
    </w:rPr>
  </w:style>
  <w:style w:type="paragraph" w:styleId="794">
    <w:name w:val="Header"/>
    <w:basedOn w:val="764"/>
    <w:link w:val="962"/>
    <w:qFormat/>
    <w:pPr>
      <w:jc w:val="center"/>
      <w:tabs>
        <w:tab w:val="center" w:pos="4153" w:leader="none"/>
        <w:tab w:val="right" w:pos="8306" w:leader="none"/>
      </w:tabs>
    </w:pPr>
    <w:rPr>
      <w:sz w:val="18"/>
      <w:szCs w:val="18"/>
    </w:rPr>
  </w:style>
  <w:style w:type="paragraph" w:styleId="795">
    <w:name w:val="toc 1"/>
    <w:basedOn w:val="764"/>
    <w:next w:val="764"/>
    <w:uiPriority w:val="39"/>
    <w:unhideWhenUsed/>
    <w:qFormat/>
    <w:pPr>
      <w:spacing w:after="57"/>
    </w:pPr>
  </w:style>
  <w:style w:type="paragraph" w:styleId="796">
    <w:name w:val="toc 4"/>
    <w:basedOn w:val="764"/>
    <w:next w:val="764"/>
    <w:uiPriority w:val="39"/>
    <w:unhideWhenUsed/>
    <w:qFormat/>
    <w:pPr>
      <w:ind w:left="850"/>
      <w:spacing w:after="57"/>
    </w:pPr>
  </w:style>
  <w:style w:type="paragraph" w:styleId="797">
    <w:name w:val="Subtitle"/>
    <w:basedOn w:val="764"/>
    <w:next w:val="764"/>
    <w:link w:val="826"/>
    <w:uiPriority w:val="11"/>
    <w:qFormat/>
    <w:pPr>
      <w:spacing w:before="200" w:after="200"/>
    </w:pPr>
    <w:rPr>
      <w:sz w:val="24"/>
      <w:szCs w:val="24"/>
    </w:rPr>
  </w:style>
  <w:style w:type="paragraph" w:styleId="798">
    <w:name w:val="footnote text"/>
    <w:basedOn w:val="764"/>
    <w:link w:val="959"/>
    <w:uiPriority w:val="99"/>
    <w:semiHidden/>
    <w:unhideWhenUsed/>
    <w:qFormat/>
    <w:pPr>
      <w:spacing w:after="40"/>
    </w:pPr>
    <w:rPr>
      <w:sz w:val="18"/>
    </w:rPr>
  </w:style>
  <w:style w:type="paragraph" w:styleId="799">
    <w:name w:val="toc 6"/>
    <w:basedOn w:val="764"/>
    <w:next w:val="764"/>
    <w:uiPriority w:val="39"/>
    <w:unhideWhenUsed/>
    <w:qFormat/>
    <w:pPr>
      <w:ind w:left="1417"/>
      <w:spacing w:after="57"/>
    </w:pPr>
  </w:style>
  <w:style w:type="paragraph" w:styleId="800">
    <w:name w:val="table of figures"/>
    <w:basedOn w:val="764"/>
    <w:next w:val="764"/>
    <w:uiPriority w:val="99"/>
    <w:unhideWhenUsed/>
    <w:qFormat/>
  </w:style>
  <w:style w:type="paragraph" w:styleId="801">
    <w:name w:val="toc 2"/>
    <w:basedOn w:val="764"/>
    <w:next w:val="764"/>
    <w:uiPriority w:val="39"/>
    <w:unhideWhenUsed/>
    <w:qFormat/>
    <w:pPr>
      <w:ind w:left="283"/>
      <w:spacing w:after="57"/>
    </w:pPr>
  </w:style>
  <w:style w:type="paragraph" w:styleId="802">
    <w:name w:val="toc 9"/>
    <w:basedOn w:val="764"/>
    <w:next w:val="764"/>
    <w:uiPriority w:val="39"/>
    <w:unhideWhenUsed/>
    <w:qFormat/>
    <w:pPr>
      <w:ind w:left="2268"/>
      <w:spacing w:after="57"/>
    </w:pPr>
  </w:style>
  <w:style w:type="paragraph" w:styleId="803">
    <w:name w:val="Normal (Web)"/>
    <w:basedOn w:val="764"/>
    <w:qFormat/>
    <w:pPr>
      <w:jc w:val="left"/>
      <w:spacing w:before="100" w:beforeAutospacing="1" w:after="100" w:afterAutospacing="1"/>
      <w:widowControl/>
    </w:pPr>
    <w:rPr>
      <w:rFonts w:ascii="宋体" w:hAnsi="宋体"/>
      <w:color w:val="000000"/>
      <w:sz w:val="24"/>
      <w:szCs w:val="24"/>
    </w:rPr>
  </w:style>
  <w:style w:type="paragraph" w:styleId="804">
    <w:name w:val="Title"/>
    <w:basedOn w:val="764"/>
    <w:next w:val="764"/>
    <w:link w:val="825"/>
    <w:uiPriority w:val="10"/>
    <w:qFormat/>
    <w:pPr>
      <w:contextualSpacing/>
      <w:spacing w:before="300" w:after="200"/>
    </w:pPr>
    <w:rPr>
      <w:sz w:val="48"/>
      <w:szCs w:val="48"/>
    </w:rPr>
  </w:style>
  <w:style w:type="paragraph" w:styleId="805">
    <w:name w:val="Body Text First Indent"/>
    <w:basedOn w:val="781"/>
    <w:next w:val="806"/>
    <w:qFormat/>
    <w:pPr>
      <w:ind w:firstLine="420"/>
    </w:pPr>
  </w:style>
  <w:style w:type="paragraph" w:styleId="806">
    <w:name w:val="Body Text First Indent 2"/>
    <w:basedOn w:val="782"/>
    <w:uiPriority w:val="99"/>
    <w:unhideWhenUsed/>
    <w:qFormat/>
    <w:pPr>
      <w:ind w:firstLine="200"/>
    </w:pPr>
  </w:style>
  <w:style w:type="table" w:styleId="807">
    <w:name w:val="Table Grid"/>
    <w:basedOn w:val="77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8">
    <w:name w:val="endnote reference"/>
    <w:uiPriority w:val="99"/>
    <w:semiHidden/>
    <w:unhideWhenUsed/>
    <w:qFormat/>
    <w:rPr>
      <w:vertAlign w:val="superscript"/>
    </w:rPr>
  </w:style>
  <w:style w:type="character" w:styleId="809">
    <w:name w:val="Emphasis"/>
    <w:qFormat/>
    <w:rPr>
      <w:rFonts w:ascii="Times New Roman" w:hAnsi="Times New Roman" w:eastAsia="宋体" w:cs="Times New Roman"/>
      <w:i/>
    </w:rPr>
  </w:style>
  <w:style w:type="character" w:styleId="810">
    <w:name w:val="Hyperlink"/>
    <w:uiPriority w:val="99"/>
    <w:unhideWhenUsed/>
    <w:qFormat/>
    <w:rPr>
      <w:color w:val="0563c1"/>
      <w:u w:val="single"/>
    </w:rPr>
  </w:style>
  <w:style w:type="character" w:styleId="811">
    <w:name w:val="annotation reference"/>
    <w:basedOn w:val="774"/>
    <w:uiPriority w:val="99"/>
    <w:semiHidden/>
    <w:unhideWhenUsed/>
    <w:qFormat/>
    <w:rPr>
      <w:sz w:val="21"/>
      <w:szCs w:val="21"/>
    </w:rPr>
  </w:style>
  <w:style w:type="character" w:styleId="812">
    <w:name w:val="footnote reference"/>
    <w:uiPriority w:val="99"/>
    <w:unhideWhenUsed/>
    <w:qFormat/>
    <w:rPr>
      <w:vertAlign w:val="superscript"/>
    </w:rPr>
  </w:style>
  <w:style w:type="paragraph" w:styleId="813" w:customStyle="1">
    <w:name w:val="标题 31"/>
    <w:basedOn w:val="764"/>
    <w:next w:val="764"/>
    <w:qFormat/>
    <w:pPr>
      <w:keepLines/>
      <w:keepNext/>
      <w:spacing w:before="260" w:after="260" w:line="416" w:lineRule="auto"/>
      <w:outlineLvl w:val="2"/>
    </w:pPr>
    <w:rPr>
      <w:b/>
      <w:bCs/>
      <w:sz w:val="32"/>
      <w:szCs w:val="32"/>
    </w:rPr>
  </w:style>
  <w:style w:type="character" w:styleId="814" w:customStyle="1">
    <w:name w:val="标题 1 字符"/>
    <w:link w:val="765"/>
    <w:qFormat/>
    <w:rPr>
      <w:rFonts w:ascii="Arial" w:hAnsi="Arial" w:eastAsia="Arial" w:cs="Arial"/>
      <w:sz w:val="40"/>
      <w:szCs w:val="40"/>
    </w:rPr>
  </w:style>
  <w:style w:type="character" w:styleId="815" w:customStyle="1">
    <w:name w:val="标题 2 字符"/>
    <w:link w:val="766"/>
    <w:uiPriority w:val="9"/>
    <w:qFormat/>
    <w:rPr>
      <w:rFonts w:ascii="Arial" w:hAnsi="Arial" w:eastAsia="Arial" w:cs="Arial"/>
      <w:sz w:val="34"/>
    </w:rPr>
  </w:style>
  <w:style w:type="character" w:styleId="816" w:customStyle="1">
    <w:name w:val="标题 3 字符"/>
    <w:link w:val="767"/>
    <w:uiPriority w:val="9"/>
    <w:qFormat/>
    <w:rPr>
      <w:rFonts w:ascii="Arial" w:hAnsi="Arial" w:eastAsia="Arial" w:cs="Arial"/>
      <w:sz w:val="30"/>
      <w:szCs w:val="30"/>
    </w:rPr>
  </w:style>
  <w:style w:type="character" w:styleId="817" w:customStyle="1">
    <w:name w:val="标题 4 字符"/>
    <w:link w:val="768"/>
    <w:uiPriority w:val="9"/>
    <w:qFormat/>
    <w:rPr>
      <w:rFonts w:ascii="Arial" w:hAnsi="Arial" w:eastAsia="Arial" w:cs="Arial"/>
      <w:b/>
      <w:bCs/>
      <w:sz w:val="26"/>
      <w:szCs w:val="26"/>
    </w:rPr>
  </w:style>
  <w:style w:type="character" w:styleId="818" w:customStyle="1">
    <w:name w:val="标题 5 字符"/>
    <w:link w:val="769"/>
    <w:uiPriority w:val="9"/>
    <w:qFormat/>
    <w:rPr>
      <w:rFonts w:ascii="Arial" w:hAnsi="Arial" w:eastAsia="Arial" w:cs="Arial"/>
      <w:b/>
      <w:bCs/>
      <w:sz w:val="24"/>
      <w:szCs w:val="24"/>
    </w:rPr>
  </w:style>
  <w:style w:type="character" w:styleId="819" w:customStyle="1">
    <w:name w:val="标题 6 字符"/>
    <w:link w:val="770"/>
    <w:uiPriority w:val="9"/>
    <w:qFormat/>
    <w:rPr>
      <w:rFonts w:ascii="Arial" w:hAnsi="Arial" w:eastAsia="Arial" w:cs="Arial"/>
      <w:b/>
      <w:bCs/>
      <w:sz w:val="22"/>
      <w:szCs w:val="22"/>
    </w:rPr>
  </w:style>
  <w:style w:type="character" w:styleId="820" w:customStyle="1">
    <w:name w:val="标题 7 字符"/>
    <w:link w:val="771"/>
    <w:uiPriority w:val="9"/>
    <w:qFormat/>
    <w:rPr>
      <w:rFonts w:ascii="Arial" w:hAnsi="Arial" w:eastAsia="Arial" w:cs="Arial"/>
      <w:b/>
      <w:bCs/>
      <w:i/>
      <w:iCs/>
      <w:sz w:val="22"/>
      <w:szCs w:val="22"/>
    </w:rPr>
  </w:style>
  <w:style w:type="character" w:styleId="821" w:customStyle="1">
    <w:name w:val="标题 8 字符"/>
    <w:link w:val="772"/>
    <w:uiPriority w:val="9"/>
    <w:qFormat/>
    <w:rPr>
      <w:rFonts w:ascii="Arial" w:hAnsi="Arial" w:eastAsia="Arial" w:cs="Arial"/>
      <w:i/>
      <w:iCs/>
      <w:sz w:val="22"/>
      <w:szCs w:val="22"/>
    </w:rPr>
  </w:style>
  <w:style w:type="character" w:styleId="822" w:customStyle="1">
    <w:name w:val="标题 9 字符"/>
    <w:link w:val="773"/>
    <w:uiPriority w:val="9"/>
    <w:qFormat/>
    <w:rPr>
      <w:rFonts w:ascii="Arial" w:hAnsi="Arial" w:eastAsia="Arial" w:cs="Arial"/>
      <w:i/>
      <w:iCs/>
      <w:sz w:val="21"/>
      <w:szCs w:val="21"/>
    </w:rPr>
  </w:style>
  <w:style w:type="paragraph" w:styleId="823">
    <w:name w:val="List Paragraph"/>
    <w:basedOn w:val="764"/>
    <w:qFormat/>
    <w:pPr>
      <w:ind w:firstLine="420"/>
    </w:pPr>
  </w:style>
  <w:style w:type="paragraph" w:styleId="824">
    <w:name w:val="No Spacing"/>
    <w:uiPriority w:val="1"/>
    <w:qFormat/>
  </w:style>
  <w:style w:type="character" w:styleId="825" w:customStyle="1">
    <w:name w:val="标题 字符"/>
    <w:link w:val="804"/>
    <w:uiPriority w:val="10"/>
    <w:qFormat/>
    <w:rPr>
      <w:sz w:val="48"/>
      <w:szCs w:val="48"/>
    </w:rPr>
  </w:style>
  <w:style w:type="character" w:styleId="826" w:customStyle="1">
    <w:name w:val="副标题 字符"/>
    <w:link w:val="797"/>
    <w:uiPriority w:val="11"/>
    <w:qFormat/>
    <w:rPr>
      <w:sz w:val="24"/>
      <w:szCs w:val="24"/>
    </w:rPr>
  </w:style>
  <w:style w:type="paragraph" w:styleId="827">
    <w:name w:val="Quote"/>
    <w:basedOn w:val="764"/>
    <w:next w:val="764"/>
    <w:link w:val="828"/>
    <w:uiPriority w:val="29"/>
    <w:qFormat/>
    <w:pPr>
      <w:ind w:left="720" w:right="720"/>
    </w:pPr>
    <w:rPr>
      <w:i/>
    </w:rPr>
  </w:style>
  <w:style w:type="character" w:styleId="828" w:customStyle="1">
    <w:name w:val="引用 字符"/>
    <w:link w:val="827"/>
    <w:uiPriority w:val="29"/>
    <w:qFormat/>
    <w:rPr>
      <w:i/>
    </w:rPr>
  </w:style>
  <w:style w:type="paragraph" w:styleId="829">
    <w:name w:val="Intense Quote"/>
    <w:basedOn w:val="764"/>
    <w:next w:val="764"/>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字符"/>
    <w:link w:val="829"/>
    <w:uiPriority w:val="30"/>
    <w:qFormat/>
    <w:rPr>
      <w:i/>
    </w:rPr>
  </w:style>
  <w:style w:type="character" w:styleId="831" w:customStyle="1">
    <w:name w:val="Header Char"/>
    <w:uiPriority w:val="99"/>
    <w:qFormat/>
  </w:style>
  <w:style w:type="character" w:styleId="832" w:customStyle="1">
    <w:name w:val="Footer Char"/>
    <w:uiPriority w:val="99"/>
    <w:qFormat/>
  </w:style>
  <w:style w:type="character" w:styleId="833" w:customStyle="1">
    <w:name w:val="页脚 字符"/>
    <w:link w:val="790"/>
    <w:uiPriority w:val="99"/>
    <w:qFormat/>
  </w:style>
  <w:style w:type="table" w:styleId="83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7" w:customStyle="1">
    <w:name w:val="无格式表格 31"/>
    <w:uiPriority w:val="99"/>
    <w:qFormat/>
    <w:tblPr>
      <w:tblCellMar>
        <w:left w:w="0" w:type="dxa"/>
        <w:top w:w="0" w:type="dxa"/>
        <w:right w:w="0" w:type="dxa"/>
        <w:bottom w:w="0" w:type="dxa"/>
      </w:tblCellMar>
    </w:tblPr>
  </w:style>
  <w:style w:type="table" w:styleId="838" w:customStyle="1">
    <w:name w:val="无格式表格 41"/>
    <w:uiPriority w:val="99"/>
    <w:qFormat/>
    <w:tblPr>
      <w:tblCellMar>
        <w:left w:w="0" w:type="dxa"/>
        <w:top w:w="0" w:type="dxa"/>
        <w:right w:w="0" w:type="dxa"/>
        <w:bottom w:w="0" w:type="dxa"/>
      </w:tblCellMar>
    </w:tblPr>
  </w:style>
  <w:style w:type="table" w:styleId="839" w:customStyle="1">
    <w:name w:val="无格式表格 51"/>
    <w:uiPriority w:val="99"/>
    <w:qFormat/>
    <w:tblPr>
      <w:tblCellMar>
        <w:left w:w="0" w:type="dxa"/>
        <w:top w:w="0" w:type="dxa"/>
        <w:right w:w="0" w:type="dxa"/>
        <w:bottom w:w="0" w:type="dxa"/>
      </w:tblCellMar>
    </w:tblPr>
  </w:style>
  <w:style w:type="table" w:styleId="84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9" w:customStyle="1">
    <w:name w:val="清单表 1 浅色1"/>
    <w:uiPriority w:val="99"/>
    <w:qFormat/>
    <w:tblPr>
      <w:tblCellMar>
        <w:left w:w="0" w:type="dxa"/>
        <w:top w:w="0" w:type="dxa"/>
        <w:right w:w="0" w:type="dxa"/>
        <w:bottom w:w="0" w:type="dxa"/>
      </w:tblCellMar>
    </w:tblPr>
  </w:style>
  <w:style w:type="table" w:styleId="890" w:customStyle="1">
    <w:name w:val="List Table 1 Light - Accent 1"/>
    <w:uiPriority w:val="99"/>
    <w:qFormat/>
    <w:tblPr>
      <w:tblCellMar>
        <w:left w:w="0" w:type="dxa"/>
        <w:top w:w="0" w:type="dxa"/>
        <w:right w:w="0" w:type="dxa"/>
        <w:bottom w:w="0" w:type="dxa"/>
      </w:tblCellMar>
    </w:tblPr>
  </w:style>
  <w:style w:type="table" w:styleId="891" w:customStyle="1">
    <w:name w:val="List Table 1 Light - Accent 2"/>
    <w:uiPriority w:val="99"/>
    <w:qFormat/>
    <w:tblPr>
      <w:tblCellMar>
        <w:left w:w="0" w:type="dxa"/>
        <w:top w:w="0" w:type="dxa"/>
        <w:right w:w="0" w:type="dxa"/>
        <w:bottom w:w="0" w:type="dxa"/>
      </w:tblCellMar>
    </w:tblPr>
  </w:style>
  <w:style w:type="table" w:styleId="892" w:customStyle="1">
    <w:name w:val="List Table 1 Light - Accent 3"/>
    <w:uiPriority w:val="99"/>
    <w:qFormat/>
    <w:tblPr>
      <w:tblCellMar>
        <w:left w:w="0" w:type="dxa"/>
        <w:top w:w="0" w:type="dxa"/>
        <w:right w:w="0" w:type="dxa"/>
        <w:bottom w:w="0" w:type="dxa"/>
      </w:tblCellMar>
    </w:tblPr>
  </w:style>
  <w:style w:type="table" w:styleId="893" w:customStyle="1">
    <w:name w:val="List Table 1 Light - Accent 4"/>
    <w:uiPriority w:val="99"/>
    <w:qFormat/>
    <w:tblPr>
      <w:tblCellMar>
        <w:left w:w="0" w:type="dxa"/>
        <w:top w:w="0" w:type="dxa"/>
        <w:right w:w="0" w:type="dxa"/>
        <w:bottom w:w="0" w:type="dxa"/>
      </w:tblCellMar>
    </w:tblPr>
  </w:style>
  <w:style w:type="table" w:styleId="894" w:customStyle="1">
    <w:name w:val="List Table 1 Light - Accent 5"/>
    <w:uiPriority w:val="99"/>
    <w:qFormat/>
    <w:tblPr>
      <w:tblCellMar>
        <w:left w:w="0" w:type="dxa"/>
        <w:top w:w="0" w:type="dxa"/>
        <w:right w:w="0" w:type="dxa"/>
        <w:bottom w:w="0" w:type="dxa"/>
      </w:tblCellMar>
    </w:tblPr>
  </w:style>
  <w:style w:type="table" w:styleId="895" w:customStyle="1">
    <w:name w:val="List Table 1 Light - Accent 6"/>
    <w:uiPriority w:val="99"/>
    <w:qFormat/>
    <w:tblPr>
      <w:tblCellMar>
        <w:left w:w="0" w:type="dxa"/>
        <w:top w:w="0" w:type="dxa"/>
        <w:right w:w="0" w:type="dxa"/>
        <w:bottom w:w="0" w:type="dxa"/>
      </w:tblCellMar>
    </w:tblPr>
  </w:style>
  <w:style w:type="table" w:styleId="89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2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3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8" w:customStyle="1">
    <w:name w:val="Lined - Accent"/>
    <w:uiPriority w:val="99"/>
    <w:qFormat/>
    <w:rPr>
      <w:color w:val="404040"/>
    </w:rPr>
    <w:tblPr>
      <w:tblCellMar>
        <w:left w:w="0" w:type="dxa"/>
        <w:top w:w="0" w:type="dxa"/>
        <w:right w:w="0" w:type="dxa"/>
        <w:bottom w:w="0" w:type="dxa"/>
      </w:tblCellMar>
    </w:tblPr>
  </w:style>
  <w:style w:type="table" w:styleId="939" w:customStyle="1">
    <w:name w:val="Lined - Accent 1"/>
    <w:uiPriority w:val="99"/>
    <w:qFormat/>
    <w:rPr>
      <w:color w:val="404040"/>
    </w:rPr>
    <w:tblPr>
      <w:tblCellMar>
        <w:left w:w="0" w:type="dxa"/>
        <w:top w:w="0" w:type="dxa"/>
        <w:right w:w="0" w:type="dxa"/>
        <w:bottom w:w="0" w:type="dxa"/>
      </w:tblCellMar>
    </w:tblPr>
  </w:style>
  <w:style w:type="table" w:styleId="940" w:customStyle="1">
    <w:name w:val="Lined - Accent 2"/>
    <w:uiPriority w:val="99"/>
    <w:qFormat/>
    <w:rPr>
      <w:color w:val="404040"/>
    </w:rPr>
    <w:tblPr>
      <w:tblCellMar>
        <w:left w:w="0" w:type="dxa"/>
        <w:top w:w="0" w:type="dxa"/>
        <w:right w:w="0" w:type="dxa"/>
        <w:bottom w:w="0" w:type="dxa"/>
      </w:tblCellMar>
    </w:tblPr>
  </w:style>
  <w:style w:type="table" w:styleId="941" w:customStyle="1">
    <w:name w:val="Lined - Accent 3"/>
    <w:uiPriority w:val="99"/>
    <w:qFormat/>
    <w:rPr>
      <w:color w:val="404040"/>
    </w:rPr>
    <w:tblPr>
      <w:tblCellMar>
        <w:left w:w="0" w:type="dxa"/>
        <w:top w:w="0" w:type="dxa"/>
        <w:right w:w="0" w:type="dxa"/>
        <w:bottom w:w="0" w:type="dxa"/>
      </w:tblCellMar>
    </w:tblPr>
  </w:style>
  <w:style w:type="table" w:styleId="942" w:customStyle="1">
    <w:name w:val="Lined - Accent 4"/>
    <w:uiPriority w:val="99"/>
    <w:qFormat/>
    <w:rPr>
      <w:color w:val="404040"/>
    </w:rPr>
    <w:tblPr>
      <w:tblCellMar>
        <w:left w:w="0" w:type="dxa"/>
        <w:top w:w="0" w:type="dxa"/>
        <w:right w:w="0" w:type="dxa"/>
        <w:bottom w:w="0" w:type="dxa"/>
      </w:tblCellMar>
    </w:tblPr>
  </w:style>
  <w:style w:type="table" w:styleId="943" w:customStyle="1">
    <w:name w:val="Lined - Accent 5"/>
    <w:uiPriority w:val="99"/>
    <w:qFormat/>
    <w:rPr>
      <w:color w:val="404040"/>
    </w:rPr>
    <w:tblPr>
      <w:tblCellMar>
        <w:left w:w="0" w:type="dxa"/>
        <w:top w:w="0" w:type="dxa"/>
        <w:right w:w="0" w:type="dxa"/>
        <w:bottom w:w="0" w:type="dxa"/>
      </w:tblCellMar>
    </w:tblPr>
  </w:style>
  <w:style w:type="table" w:styleId="944" w:customStyle="1">
    <w:name w:val="Lined - Accent 6"/>
    <w:uiPriority w:val="99"/>
    <w:qFormat/>
    <w:rPr>
      <w:color w:val="404040"/>
    </w:rPr>
    <w:tblPr>
      <w:tblCellMar>
        <w:left w:w="0" w:type="dxa"/>
        <w:top w:w="0" w:type="dxa"/>
        <w:right w:w="0" w:type="dxa"/>
        <w:bottom w:w="0" w:type="dxa"/>
      </w:tblCellMar>
    </w:tblPr>
  </w:style>
  <w:style w:type="table" w:styleId="94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9" w:customStyle="1">
    <w:name w:val="脚注文本 字符"/>
    <w:link w:val="798"/>
    <w:uiPriority w:val="99"/>
    <w:qFormat/>
    <w:rPr>
      <w:sz w:val="18"/>
    </w:rPr>
  </w:style>
  <w:style w:type="character" w:styleId="960" w:customStyle="1">
    <w:name w:val="尾注文本 字符"/>
    <w:link w:val="788"/>
    <w:uiPriority w:val="99"/>
    <w:qFormat/>
    <w:rPr>
      <w:sz w:val="20"/>
    </w:rPr>
  </w:style>
  <w:style w:type="paragraph" w:styleId="961" w:customStyle="1">
    <w:name w:val="TOC 标题1"/>
    <w:uiPriority w:val="39"/>
    <w:unhideWhenUsed/>
    <w:qFormat/>
  </w:style>
  <w:style w:type="character" w:styleId="962" w:customStyle="1">
    <w:name w:val="页眉 字符"/>
    <w:link w:val="794"/>
    <w:qFormat/>
    <w:rPr>
      <w:rFonts w:ascii="Times New Roman" w:hAnsi="Times New Roman" w:eastAsia="楷体_GB2312"/>
      <w:sz w:val="18"/>
      <w:szCs w:val="18"/>
    </w:rPr>
  </w:style>
  <w:style w:type="paragraph" w:styleId="963" w:customStyle="1">
    <w:name w:val="索引 41"/>
    <w:basedOn w:val="764"/>
    <w:next w:val="764"/>
    <w:qFormat/>
    <w:pPr>
      <w:ind w:left="600"/>
    </w:pPr>
    <w:rPr>
      <w:szCs w:val="21"/>
    </w:rPr>
  </w:style>
  <w:style w:type="paragraph" w:styleId="964" w:customStyle="1">
    <w:name w:val="正文首行缩进 21"/>
    <w:basedOn w:val="793"/>
    <w:uiPriority w:val="99"/>
    <w:unhideWhenUsed/>
    <w:qFormat/>
    <w:pPr>
      <w:ind w:firstLine="420"/>
    </w:pPr>
  </w:style>
  <w:style w:type="paragraph" w:styleId="965" w:customStyle="1">
    <w:name w:val="目录 11"/>
    <w:basedOn w:val="764"/>
    <w:next w:val="764"/>
    <w:unhideWhenUsed/>
    <w:qFormat/>
    <w:pPr>
      <w:jc w:val="left"/>
    </w:pPr>
    <w:rPr>
      <w:sz w:val="24"/>
    </w:rPr>
  </w:style>
  <w:style w:type="paragraph" w:styleId="966" w:customStyle="1">
    <w:name w:val="标题 21"/>
    <w:basedOn w:val="764"/>
    <w:next w:val="764"/>
    <w:qFormat/>
    <w:pPr>
      <w:keepLines/>
      <w:keepNext/>
      <w:spacing w:before="260" w:after="260" w:line="416" w:lineRule="auto"/>
      <w:outlineLvl w:val="1"/>
    </w:pPr>
    <w:rPr>
      <w:rFonts w:ascii="Cambria" w:hAnsi="Cambria" w:eastAsia="宋体"/>
      <w:b/>
      <w:bCs/>
      <w:sz w:val="32"/>
      <w:szCs w:val="32"/>
    </w:rPr>
  </w:style>
  <w:style w:type="paragraph" w:styleId="967" w:customStyle="1">
    <w:name w:val="Default"/>
    <w:qFormat/>
    <w:pPr>
      <w:widowControl w:val="off"/>
    </w:pPr>
    <w:rPr>
      <w:rFonts w:ascii="仿宋" w:eastAsia="仿宋" w:cs="仿宋"/>
      <w:color w:val="000000"/>
      <w:sz w:val="24"/>
      <w:szCs w:val="24"/>
    </w:rPr>
  </w:style>
  <w:style w:type="paragraph" w:styleId="968" w:customStyle="1">
    <w:name w:val="纯文本1111"/>
    <w:basedOn w:val="764"/>
    <w:next w:val="969"/>
    <w:unhideWhenUsed/>
    <w:qFormat/>
    <w:rPr>
      <w:rFonts w:ascii="宋体" w:hAnsi="Courier New"/>
    </w:rPr>
  </w:style>
  <w:style w:type="paragraph" w:styleId="969" w:customStyle="1">
    <w:name w:val="正文缩进1"/>
    <w:basedOn w:val="764"/>
    <w:unhideWhenUsed/>
    <w:qFormat/>
    <w:pPr>
      <w:ind w:firstLine="420"/>
      <w:jc w:val="left"/>
    </w:pPr>
    <w:rPr>
      <w:sz w:val="24"/>
    </w:rPr>
  </w:style>
  <w:style w:type="paragraph" w:styleId="970" w:customStyle="1">
    <w:name w:val="首行缩进"/>
    <w:basedOn w:val="764"/>
    <w:qFormat/>
    <w:pPr>
      <w:ind w:firstLine="480"/>
      <w:spacing w:line="360" w:lineRule="auto"/>
    </w:pPr>
    <w:rPr>
      <w:rFonts w:hAnsi="宋体" w:eastAsia="宋体" w:cs="宋体"/>
      <w:sz w:val="24"/>
      <w:szCs w:val="24"/>
    </w:rPr>
  </w:style>
  <w:style w:type="paragraph" w:styleId="971" w:customStyle="1">
    <w:name w:val="Char"/>
    <w:basedOn w:val="764"/>
    <w:qFormat/>
  </w:style>
  <w:style w:type="paragraph" w:styleId="972" w:customStyle="1">
    <w:name w:val="标题 11"/>
    <w:basedOn w:val="764"/>
    <w:next w:val="764"/>
    <w:qFormat/>
    <w:pPr>
      <w:keepLines/>
      <w:keepNext/>
      <w:spacing w:before="340" w:after="330" w:line="578" w:lineRule="auto"/>
      <w:outlineLvl w:val="0"/>
    </w:pPr>
    <w:rPr>
      <w:b/>
      <w:sz w:val="44"/>
    </w:rPr>
  </w:style>
  <w:style w:type="paragraph" w:styleId="973" w:customStyle="1">
    <w:name w:val="纯文本1"/>
    <w:basedOn w:val="764"/>
    <w:qFormat/>
    <w:rPr>
      <w:rFonts w:ascii="宋体" w:hAnsi="Courier New"/>
    </w:rPr>
  </w:style>
  <w:style w:type="paragraph" w:styleId="974" w:customStyle="1">
    <w:name w:val="正文2"/>
    <w:basedOn w:val="764"/>
    <w:qFormat/>
    <w:pPr>
      <w:ind w:firstLine="510"/>
      <w:spacing w:before="156" w:line="360" w:lineRule="auto"/>
    </w:pPr>
    <w:rPr>
      <w:sz w:val="24"/>
    </w:rPr>
  </w:style>
  <w:style w:type="character" w:styleId="975" w:customStyle="1">
    <w:name w:val="要点1"/>
    <w:qFormat/>
    <w:rPr>
      <w:b/>
      <w:bCs/>
    </w:rPr>
  </w:style>
  <w:style w:type="paragraph" w:styleId="976" w:customStyle="1">
    <w:name w:val="普通(网站)1"/>
    <w:basedOn w:val="764"/>
    <w:unhideWhenUsed/>
    <w:qFormat/>
    <w:pPr>
      <w:jc w:val="left"/>
      <w:spacing w:before="100" w:beforeAutospacing="1" w:after="100" w:afterAutospacing="1"/>
      <w:widowControl/>
    </w:pPr>
    <w:rPr>
      <w:rFonts w:ascii="宋体" w:hAnsi="宋体" w:cs="宋体"/>
      <w:sz w:val="24"/>
    </w:rPr>
  </w:style>
  <w:style w:type="paragraph" w:styleId="977" w:customStyle="1">
    <w:name w:val="正文文本缩进 21"/>
    <w:basedOn w:val="764"/>
    <w:unhideWhenUsed/>
    <w:qFormat/>
    <w:pPr>
      <w:ind w:left="420"/>
      <w:spacing w:after="120" w:line="480" w:lineRule="auto"/>
    </w:pPr>
  </w:style>
  <w:style w:type="paragraph" w:styleId="978" w:customStyle="1">
    <w:name w:val="纯文本11"/>
    <w:basedOn w:val="764"/>
    <w:uiPriority w:val="99"/>
    <w:qFormat/>
    <w:rPr>
      <w:rFonts w:ascii="宋体" w:hAnsi="Courier New"/>
    </w:rPr>
  </w:style>
  <w:style w:type="paragraph" w:styleId="979" w:customStyle="1">
    <w:name w:val="索引 11"/>
    <w:basedOn w:val="764"/>
    <w:next w:val="764"/>
    <w:unhideWhenUsed/>
    <w:qFormat/>
    <w:pPr>
      <w:jc w:val="center"/>
      <w:spacing w:line="220" w:lineRule="exact"/>
    </w:pPr>
    <w:rPr>
      <w:rFonts w:ascii="仿宋_GB2312" w:eastAsia="仿宋_GB2312"/>
      <w:szCs w:val="21"/>
    </w:rPr>
  </w:style>
  <w:style w:type="paragraph" w:styleId="980" w:customStyle="1">
    <w:name w:val="正文文本1"/>
    <w:basedOn w:val="764"/>
    <w:unhideWhenUsed/>
    <w:qFormat/>
    <w:rPr>
      <w:rFonts w:ascii="楷体_GB2312"/>
      <w:b/>
      <w:bCs/>
      <w:sz w:val="28"/>
    </w:rPr>
  </w:style>
  <w:style w:type="paragraph" w:styleId="981" w:customStyle="1">
    <w:name w:val="页眉1"/>
    <w:basedOn w:val="764"/>
    <w:unhideWhenUsed/>
    <w:qFormat/>
    <w:pPr>
      <w:jc w:val="center"/>
      <w:tabs>
        <w:tab w:val="center" w:pos="4153" w:leader="none"/>
        <w:tab w:val="right" w:pos="8306" w:leader="none"/>
      </w:tabs>
      <w:pBdr>
        <w:bottom w:val="single" w:color="000000" w:sz="6" w:space="1"/>
      </w:pBdr>
    </w:pPr>
    <w:rPr>
      <w:sz w:val="18"/>
    </w:rPr>
  </w:style>
  <w:style w:type="paragraph" w:styleId="982" w:customStyle="1">
    <w:name w:val="页脚1"/>
    <w:basedOn w:val="764"/>
    <w:unhideWhenUsed/>
    <w:qFormat/>
    <w:pPr>
      <w:jc w:val="left"/>
      <w:tabs>
        <w:tab w:val="center" w:pos="4153" w:leader="none"/>
        <w:tab w:val="right" w:pos="8306" w:leader="none"/>
      </w:tabs>
    </w:pPr>
    <w:rPr>
      <w:sz w:val="18"/>
    </w:rPr>
  </w:style>
  <w:style w:type="character" w:styleId="983" w:customStyle="1">
    <w:name w:val="font81"/>
    <w:qFormat/>
    <w:rPr>
      <w:rFonts w:ascii="Times New Roman" w:hAnsi="Times New Roman" w:cs="Times New Roman"/>
      <w:color w:val="000000"/>
      <w:sz w:val="22"/>
      <w:szCs w:val="22"/>
      <w:u w:val="none"/>
    </w:rPr>
  </w:style>
  <w:style w:type="character" w:styleId="984" w:customStyle="1">
    <w:name w:val="font11"/>
    <w:qFormat/>
    <w:rPr>
      <w:rFonts w:hint="eastAsia" w:ascii="仿宋" w:hAnsi="仿宋" w:eastAsia="仿宋" w:cs="仿宋"/>
      <w:color w:val="000000"/>
      <w:sz w:val="22"/>
      <w:szCs w:val="22"/>
      <w:u w:val="none"/>
    </w:rPr>
  </w:style>
  <w:style w:type="character" w:styleId="985" w:customStyle="1">
    <w:name w:val="font101"/>
    <w:qFormat/>
    <w:rPr>
      <w:rFonts w:ascii="Arial" w:hAnsi="Arial" w:cs="Arial"/>
      <w:color w:val="000000"/>
      <w:sz w:val="22"/>
      <w:szCs w:val="22"/>
      <w:u w:val="none"/>
    </w:rPr>
  </w:style>
  <w:style w:type="paragraph" w:styleId="986" w:customStyle="1">
    <w:name w:val="List Paragraph_f0420307-4c65-4cf4-ac34-e8950b7bacb1"/>
    <w:basedOn w:val="764"/>
    <w:qFormat/>
    <w:pPr>
      <w:ind w:firstLine="420"/>
    </w:pPr>
    <w:rPr>
      <w:rFonts w:eastAsia="宋体"/>
      <w:sz w:val="21"/>
      <w:szCs w:val="21"/>
    </w:rPr>
  </w:style>
  <w:style w:type="character" w:styleId="987" w:customStyle="1">
    <w:name w:val="font51"/>
    <w:basedOn w:val="774"/>
    <w:qFormat/>
    <w:rPr>
      <w:rFonts w:hint="default" w:ascii="Times New Roman" w:hAnsi="Times New Roman" w:cs="Times New Roman"/>
      <w:color w:val="000000"/>
      <w:sz w:val="21"/>
      <w:szCs w:val="21"/>
      <w:u w:val="none"/>
    </w:rPr>
  </w:style>
  <w:style w:type="character" w:styleId="988" w:customStyle="1">
    <w:name w:val="font31"/>
    <w:basedOn w:val="774"/>
    <w:qFormat/>
    <w:rPr>
      <w:rFonts w:hint="eastAsia" w:ascii="宋体" w:hAnsi="宋体" w:eastAsia="宋体" w:cs="宋体"/>
      <w:color w:val="000000"/>
      <w:sz w:val="21"/>
      <w:szCs w:val="21"/>
      <w:u w:val="none"/>
    </w:rPr>
  </w:style>
  <w:style w:type="character" w:styleId="989" w:customStyle="1">
    <w:name w:val="font21"/>
    <w:basedOn w:val="774"/>
    <w:qFormat/>
    <w:rPr>
      <w:rFonts w:hint="default" w:ascii="Times New Roman" w:hAnsi="Times New Roman" w:cs="Times New Roman"/>
      <w:color w:val="000000"/>
      <w:sz w:val="21"/>
      <w:szCs w:val="21"/>
      <w:u w:val="none"/>
    </w:rPr>
  </w:style>
  <w:style w:type="character" w:styleId="990" w:customStyle="1">
    <w:name w:val="font61"/>
    <w:basedOn w:val="774"/>
    <w:qFormat/>
    <w:rPr>
      <w:rFonts w:hint="eastAsia" w:ascii="宋体" w:hAnsi="宋体" w:eastAsia="宋体" w:cs="宋体"/>
      <w:color w:val="000000"/>
      <w:sz w:val="21"/>
      <w:szCs w:val="21"/>
      <w:u w:val="none"/>
    </w:rPr>
  </w:style>
  <w:style w:type="character" w:styleId="991" w:customStyle="1">
    <w:name w:val="font41"/>
    <w:basedOn w:val="774"/>
    <w:qFormat/>
    <w:rPr>
      <w:rFonts w:hint="default" w:ascii="Times New Roman" w:hAnsi="Times New Roman" w:cs="Times New Roman"/>
      <w:color w:val="000000"/>
      <w:sz w:val="20"/>
      <w:szCs w:val="20"/>
      <w:u w:val="none"/>
    </w:rPr>
  </w:style>
  <w:style w:type="character" w:styleId="992" w:customStyle="1">
    <w:name w:val="批注框文本 字符"/>
    <w:basedOn w:val="774"/>
    <w:link w:val="789"/>
    <w:uiPriority w:val="99"/>
    <w:semiHidden/>
    <w:qFormat/>
    <w:rPr>
      <w:rFonts w:eastAsia="楷体_GB2312"/>
      <w:sz w:val="18"/>
      <w:szCs w:val="18"/>
    </w:rPr>
  </w:style>
  <w:style w:type="table" w:styleId="993" w:customStyle="1">
    <w:name w:val="Table Normal"/>
    <w:semiHidden/>
    <w:unhideWhenUsed/>
    <w:qFormat/>
    <w:tblPr>
      <w:tblCellMar>
        <w:left w:w="0" w:type="dxa"/>
        <w:top w:w="0" w:type="dxa"/>
        <w:right w:w="0" w:type="dxa"/>
        <w:bottom w:w="0" w:type="dxa"/>
      </w:tblCellMar>
    </w:tblPr>
  </w:style>
  <w:style w:type="paragraph" w:styleId="994" w:customStyle="1">
    <w:name w:val="样式 首行缩进:  2 字符"/>
    <w:basedOn w:val="764"/>
    <w:link w:val="995"/>
    <w:qFormat/>
    <w:pPr>
      <w:ind w:firstLine="480"/>
      <w:spacing w:line="360" w:lineRule="auto"/>
    </w:pPr>
    <w:rPr>
      <w:rFonts w:eastAsia="宋体"/>
      <w:sz w:val="24"/>
    </w:rPr>
  </w:style>
  <w:style w:type="character" w:styleId="995" w:customStyle="1">
    <w:name w:val="样式 首行缩进:  2 字符 Char Char"/>
    <w:link w:val="994"/>
    <w:qFormat/>
    <w:rPr>
      <w:sz w:val="24"/>
    </w:rPr>
  </w:style>
  <w:style w:type="character" w:styleId="996" w:customStyle="1">
    <w:name w:val="批注文字 字符"/>
    <w:basedOn w:val="774"/>
    <w:link w:val="780"/>
    <w:uiPriority w:val="99"/>
    <w:semiHidden/>
    <w:qFormat/>
    <w:rPr>
      <w:rFonts w:eastAsia="楷体_GB2312"/>
      <w:sz w:val="26"/>
    </w:rPr>
  </w:style>
  <w:style w:type="paragraph" w:styleId="997" w:customStyle="1">
    <w:name w:val="Normal_17_1"/>
    <w:qFormat/>
    <w:pPr>
      <w:jc w:val="both"/>
      <w:widowControl w:val="off"/>
    </w:pPr>
    <w:rPr>
      <w:rFonts w:ascii="Calibri" w:hAnsi="Calibri"/>
      <w:sz w:val="21"/>
      <w:szCs w:val="22"/>
    </w:rPr>
  </w:style>
  <w:style w:type="paragraph" w:styleId="998" w:customStyle="1">
    <w:name w:val="Normal_16_1"/>
    <w:qFormat/>
    <w:rPr>
      <w:rFonts w:ascii="宋体" w:hAnsi="宋体"/>
      <w:sz w:val="32"/>
      <w:szCs w:val="24"/>
    </w:rPr>
  </w:style>
  <w:style w:type="paragraph" w:styleId="999" w:customStyle="1">
    <w:name w:val="正文_9_0_1"/>
    <w:qFormat/>
    <w:pPr>
      <w:jc w:val="both"/>
      <w:widowControl w:val="off"/>
    </w:pPr>
    <w:rPr>
      <w:rFonts w:ascii="Calibri" w:hAnsi="Calibri"/>
      <w:sz w:val="21"/>
      <w:szCs w:val="22"/>
    </w:rPr>
  </w:style>
  <w:style w:type="paragraph" w:styleId="1000" w:customStyle="1">
    <w:name w:val="正文_8_1_1"/>
    <w:qFormat/>
    <w:pPr>
      <w:jc w:val="both"/>
      <w:widowControl w:val="off"/>
    </w:pPr>
    <w:rPr>
      <w:rFonts w:ascii="Calibri" w:hAnsi="Calibri"/>
      <w:sz w:val="21"/>
      <w:szCs w:val="22"/>
    </w:rPr>
  </w:style>
  <w:style w:type="paragraph" w:styleId="1001" w:customStyle="1">
    <w:name w:val="正文_1_0_0_0_0_0"/>
    <w:qFormat/>
    <w:pPr>
      <w:jc w:val="both"/>
      <w:widowControl w:val="off"/>
    </w:pPr>
    <w:rPr>
      <w:sz w:val="21"/>
    </w:rPr>
  </w:style>
  <w:style w:type="paragraph" w:styleId="1002" w:customStyle="1">
    <w:name w:val="列出段落_2"/>
    <w:basedOn w:val="1000"/>
    <w:uiPriority w:val="34"/>
    <w:qFormat/>
    <w:pPr>
      <w:ind w:firstLine="420"/>
    </w:pPr>
  </w:style>
  <w:style w:type="paragraph" w:styleId="1003" w:customStyle="1">
    <w:name w:val="Other|1"/>
    <w:basedOn w:val="764"/>
    <w:qFormat/>
    <w:rPr>
      <w:rFonts w:ascii="宋体" w:hAnsi="宋体" w:eastAsia="宋体" w:cs="宋体"/>
      <w:sz w:val="21"/>
      <w:lang w:val="zh-TW" w:eastAsia="zh-TW" w:bidi="zh-T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jszfcg.jsczt.cn/&#65289;&#33719;&#21462;&#25307;&#26631;&#25991;&#20214;&#65292;&#24182;&#20110;2023&#24180;11&#26376;" TargetMode="External"/><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马君端</cp:lastModifiedBy>
  <cp:revision>74</cp:revision>
  <dcterms:created xsi:type="dcterms:W3CDTF">2024-11-12T10:22:00Z</dcterms:created>
  <dcterms:modified xsi:type="dcterms:W3CDTF">2025-11-24T02:02:50Z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9830CAE923E646A1A8FEA30356F851EB_13</vt:lpwstr>
  </property>
  <property fmtid="{D5CDD505-2E9C-101B-9397-08002B2CF9AE}" pid="4" name="KSOTemplateDocerSaveRecord">
    <vt:lpwstr>eyJoZGlkIjoiMTE4OTc5MTg3MWY1ZjcxMTRjNGU4ZGE5MTA0NTQyMjIiLCJ1c2VySWQiOiI1Mjc0MzIzNTQifQ==</vt:lpwstr>
  </property>
</Properties>
</file>